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D9A" w:rsidRPr="00D13F6E" w:rsidRDefault="006A4C71" w:rsidP="00D13F6E">
      <w:pPr>
        <w:pStyle w:val="Documenttitle"/>
      </w:pPr>
      <w:r>
        <w:t>Land prices: UNCOVERED!</w:t>
      </w:r>
    </w:p>
    <w:p w:rsidR="00171D9A" w:rsidRDefault="006A4C71" w:rsidP="00D13F6E">
      <w:pPr>
        <w:pStyle w:val="Documentsubtitle"/>
      </w:pPr>
      <w:r>
        <w:t>Extricating land price indexes from improved property price indexes for New Zealand</w:t>
      </w:r>
    </w:p>
    <w:p w:rsidR="006A4C71" w:rsidRDefault="006A4C71" w:rsidP="006A4C71">
      <w:pPr>
        <w:pStyle w:val="Heading3"/>
      </w:pPr>
      <w:r>
        <w:t>Frances Krsinich</w:t>
      </w:r>
    </w:p>
    <w:p w:rsidR="00171D9A" w:rsidRDefault="00D43874" w:rsidP="006A4C71">
      <w:pPr>
        <w:pStyle w:val="Heading3"/>
        <w:sectPr w:rsidR="00171D9A" w:rsidSect="00171D9A">
          <w:headerReference w:type="default" r:id="rId9"/>
          <w:pgSz w:w="11906" w:h="16838"/>
          <w:pgMar w:top="4364" w:right="1701" w:bottom="1021" w:left="1701" w:header="709" w:footer="709" w:gutter="0"/>
          <w:cols w:space="708"/>
          <w:docGrid w:linePitch="360"/>
        </w:sectPr>
      </w:pPr>
      <w:r>
        <w:t>NZAE conference</w:t>
      </w:r>
      <w:r w:rsidR="00F30B38">
        <w:t>, July 2019, Wellington</w:t>
      </w:r>
    </w:p>
    <w:p w:rsidR="00D3063C" w:rsidRDefault="00D3063C" w:rsidP="00D3063C">
      <w:pPr>
        <w:pStyle w:val="ListBullet3"/>
        <w:numPr>
          <w:ilvl w:val="0"/>
          <w:numId w:val="0"/>
        </w:numPr>
      </w:pPr>
    </w:p>
    <w:p w:rsidR="00804D4B" w:rsidRDefault="00A54067" w:rsidP="001C134E">
      <w:pPr>
        <w:pStyle w:val="Heading2"/>
      </w:pPr>
      <w:r>
        <w:t xml:space="preserve">The Sales Appraisal Fixed Effects decomposition </w:t>
      </w:r>
    </w:p>
    <w:p w:rsidR="00804D4B" w:rsidRPr="00A54067" w:rsidRDefault="00804D4B" w:rsidP="00804D4B">
      <w:pPr>
        <w:rPr>
          <w:i/>
        </w:rPr>
      </w:pPr>
      <w:r>
        <w:t xml:space="preserve">MBIE has been investigating a new approach for decomposing property price indexes into land and structure components. We call this </w:t>
      </w:r>
      <w:r w:rsidR="00D35620">
        <w:t xml:space="preserve">method </w:t>
      </w:r>
      <w:r>
        <w:t xml:space="preserve">the </w:t>
      </w:r>
      <w:r w:rsidRPr="002525BD">
        <w:rPr>
          <w:b/>
        </w:rPr>
        <w:t>Sales Appraisal Fixed Effects</w:t>
      </w:r>
      <w:r w:rsidR="00D35620" w:rsidRPr="002525BD">
        <w:rPr>
          <w:b/>
        </w:rPr>
        <w:t xml:space="preserve"> decomposition</w:t>
      </w:r>
      <w:r w:rsidRPr="00F30B38">
        <w:rPr>
          <w:i/>
        </w:rPr>
        <w:t xml:space="preserve"> </w:t>
      </w:r>
      <w:r w:rsidR="00A54067">
        <w:rPr>
          <w:i/>
        </w:rPr>
        <w:t xml:space="preserve">– </w:t>
      </w:r>
      <w:r w:rsidR="00D35620">
        <w:t>S</w:t>
      </w:r>
      <w:r w:rsidR="00A54067">
        <w:t>AFE(</w:t>
      </w:r>
      <w:r w:rsidR="00D35620">
        <w:t>d</w:t>
      </w:r>
      <w:r w:rsidR="00F86BC5" w:rsidRPr="00F86BC5">
        <w:t>)</w:t>
      </w:r>
      <w:r>
        <w:t>.</w:t>
      </w:r>
    </w:p>
    <w:p w:rsidR="00804D4B" w:rsidRDefault="00804D4B" w:rsidP="00804D4B">
      <w:r>
        <w:t xml:space="preserve">In addition to an improved property price measure for New Zealand which better controls for quality change, </w:t>
      </w:r>
      <w:r w:rsidR="00F86BC5">
        <w:t>this new approach</w:t>
      </w:r>
      <w:r>
        <w:t xml:space="preserve"> </w:t>
      </w:r>
      <w:r w:rsidR="00440F96">
        <w:t>gives improved</w:t>
      </w:r>
      <w:r>
        <w:t xml:space="preserve"> land price indexes and </w:t>
      </w:r>
      <w:r w:rsidR="002525BD">
        <w:t xml:space="preserve">the potential for </w:t>
      </w:r>
      <w:r>
        <w:t xml:space="preserve">price-to-cost measures for the full stock of New Zealand property, </w:t>
      </w:r>
      <w:r w:rsidR="000A4A77">
        <w:t xml:space="preserve">all of </w:t>
      </w:r>
      <w:r>
        <w:t xml:space="preserve">which can be disaggregated down to the territorial authority </w:t>
      </w:r>
      <w:r w:rsidR="00A54067">
        <w:t xml:space="preserve">(TA) </w:t>
      </w:r>
      <w:r>
        <w:t>level.</w:t>
      </w:r>
    </w:p>
    <w:p w:rsidR="00804D4B" w:rsidRDefault="00D9016C" w:rsidP="001C134E">
      <w:pPr>
        <w:pStyle w:val="Heading2"/>
      </w:pPr>
      <w:r>
        <w:t>Measuring property price change is challenging</w:t>
      </w:r>
    </w:p>
    <w:p w:rsidR="00160762" w:rsidRDefault="00804D4B" w:rsidP="006A3467">
      <w:r>
        <w:t xml:space="preserve">Property price </w:t>
      </w:r>
      <w:r w:rsidR="00747C1D">
        <w:t>change is difficult to measure well</w:t>
      </w:r>
      <w:r>
        <w:t xml:space="preserve">, because properties are unique and sell infrequently. This makes it </w:t>
      </w:r>
      <w:r w:rsidR="002525BD">
        <w:t>hard</w:t>
      </w:r>
      <w:r>
        <w:t xml:space="preserve"> to use traditional index number methods to ensure quality adjusted price change measures</w:t>
      </w:r>
      <w:r w:rsidR="00A54067">
        <w:t xml:space="preserve"> because we can’t define a ‘fixed basket’ of products and because there is insufficient information on characteristics of properties, or the value to consumers of those characteristics</w:t>
      </w:r>
      <w:r>
        <w:t xml:space="preserve">. </w:t>
      </w:r>
    </w:p>
    <w:p w:rsidR="00160762" w:rsidRDefault="00804D4B" w:rsidP="006A3467">
      <w:r>
        <w:t>However, New Zealand is fortunate to have very rich property data that links sales prices to valuation data, and this enables the Sales Price Appraisal Ratio (SPAR) method to be used for both the QVHPI index produced by CoreLogic, a</w:t>
      </w:r>
      <w:r w:rsidR="00BC0514">
        <w:t xml:space="preserve">nd </w:t>
      </w:r>
      <w:r w:rsidR="000A4A77">
        <w:t xml:space="preserve">now </w:t>
      </w:r>
      <w:r w:rsidR="00BC0514">
        <w:t>the REINZ house price index</w:t>
      </w:r>
      <w:r w:rsidR="00C95E48">
        <w:rPr>
          <w:rStyle w:val="FootnoteReference"/>
        </w:rPr>
        <w:footnoteReference w:id="1"/>
      </w:r>
      <w:r w:rsidR="00BC0514">
        <w:t xml:space="preserve"> </w:t>
      </w:r>
      <w:r>
        <w:t>which until recently used a str</w:t>
      </w:r>
      <w:r w:rsidR="00BC0514">
        <w:t>atified median measure</w:t>
      </w:r>
      <w:r>
        <w:t xml:space="preserve">. </w:t>
      </w:r>
      <w:r w:rsidR="00C95E48">
        <w:t>Dubner and Krsinich</w:t>
      </w:r>
      <w:r w:rsidR="00160762">
        <w:t xml:space="preserve"> (2010) outline the issues of property price measurement and give an early stocktake of house price measures in New Zealand and Australia. </w:t>
      </w:r>
    </w:p>
    <w:p w:rsidR="00804D4B" w:rsidRDefault="00804D4B" w:rsidP="002525BD">
      <w:r>
        <w:t>While a hedonic price index</w:t>
      </w:r>
      <w:r w:rsidR="002525BD">
        <w:rPr>
          <w:rStyle w:val="FootnoteReference"/>
        </w:rPr>
        <w:footnoteReference w:id="2"/>
      </w:r>
      <w:r>
        <w:t xml:space="preserve"> is considered the gold standard for property price measurement, the SPAR method is recognised as one of the bette</w:t>
      </w:r>
      <w:r w:rsidR="00F30B38">
        <w:t xml:space="preserve">r property price index methods </w:t>
      </w:r>
      <w:r>
        <w:t xml:space="preserve">in the absence of sufficient data on characteristics to </w:t>
      </w:r>
      <w:r w:rsidR="00D35620">
        <w:t>produce</w:t>
      </w:r>
      <w:r>
        <w:t xml:space="preserve"> a hedonic index</w:t>
      </w:r>
      <w:r w:rsidR="00F30B38">
        <w:t xml:space="preserve"> </w:t>
      </w:r>
      <w:r w:rsidR="00F30B38">
        <w:t>(OECD, 2013)</w:t>
      </w:r>
      <w:r>
        <w:t>.</w:t>
      </w:r>
    </w:p>
    <w:p w:rsidR="00D9016C" w:rsidRDefault="00AD64AC" w:rsidP="00D9016C">
      <w:pPr>
        <w:pStyle w:val="Heading2"/>
      </w:pPr>
      <w:r>
        <w:t xml:space="preserve">Recently developed </w:t>
      </w:r>
      <w:r w:rsidR="00D9016C">
        <w:t>methodology mean</w:t>
      </w:r>
      <w:r>
        <w:t>s</w:t>
      </w:r>
      <w:r w:rsidR="00D9016C">
        <w:t xml:space="preserve"> </w:t>
      </w:r>
      <w:r w:rsidR="00A54067">
        <w:t xml:space="preserve">that </w:t>
      </w:r>
      <w:r>
        <w:t xml:space="preserve">data </w:t>
      </w:r>
      <w:r w:rsidR="002525BD">
        <w:t xml:space="preserve">on the characteristics of </w:t>
      </w:r>
      <w:r w:rsidR="00D9016C">
        <w:t>properties</w:t>
      </w:r>
      <w:r w:rsidR="002525BD">
        <w:t xml:space="preserve"> </w:t>
      </w:r>
      <w:r w:rsidR="00A54067">
        <w:t>is not required for quality adjustment</w:t>
      </w:r>
    </w:p>
    <w:p w:rsidR="00160762" w:rsidRDefault="00804D4B" w:rsidP="006A3467">
      <w:r>
        <w:t xml:space="preserve">Recent developments in multilateral price idex methods have enabled the estimation of price indexes from scanner and online data where </w:t>
      </w:r>
      <w:r w:rsidR="00160762">
        <w:t xml:space="preserve">there is no </w:t>
      </w:r>
      <w:r>
        <w:t xml:space="preserve">characteristic information </w:t>
      </w:r>
      <w:r w:rsidR="00160762">
        <w:t xml:space="preserve">for explicit quality adjustment, by taking advantage </w:t>
      </w:r>
      <w:r>
        <w:t>of the longitudinal nature of the data</w:t>
      </w:r>
      <w:r w:rsidR="00747C1D">
        <w:t xml:space="preserve"> and controlling at the level of the product</w:t>
      </w:r>
      <w:r w:rsidR="00747C1D">
        <w:rPr>
          <w:rStyle w:val="FootnoteReference"/>
        </w:rPr>
        <w:footnoteReference w:id="3"/>
      </w:r>
      <w:r>
        <w:t xml:space="preserve">. These fixed effects window splice (FEWS) indexes have been shown to be equivalent to </w:t>
      </w:r>
      <w:r w:rsidR="00CD51DD">
        <w:t xml:space="preserve">time-dummy </w:t>
      </w:r>
      <w:r>
        <w:t>h</w:t>
      </w:r>
      <w:r w:rsidR="00D35620">
        <w:t xml:space="preserve">edonic indexes (Krsinich, 2016). And </w:t>
      </w:r>
      <w:r w:rsidR="00CD51DD">
        <w:t xml:space="preserve">those </w:t>
      </w:r>
      <w:r w:rsidR="00D35620">
        <w:t xml:space="preserve">time-dummy hedonic indexes have </w:t>
      </w:r>
      <w:r>
        <w:t xml:space="preserve">in turn been expressed in terms of more traditional index number theory </w:t>
      </w:r>
      <w:r w:rsidR="00F30B38">
        <w:t>(de Haan &amp; Krsinich, 2017)</w:t>
      </w:r>
      <w:r>
        <w:t>.</w:t>
      </w:r>
      <w:r w:rsidR="00F30B38">
        <w:t xml:space="preserve"> </w:t>
      </w:r>
    </w:p>
    <w:p w:rsidR="00804D4B" w:rsidRDefault="00F30B38" w:rsidP="006A3467">
      <w:r>
        <w:t>Stats NZ have been at the forefront internationally of adopting these methods to measure price change using big data (Bentley &amp; Krsinich, 2017).</w:t>
      </w:r>
    </w:p>
    <w:p w:rsidR="00804D4B" w:rsidRDefault="00804D4B" w:rsidP="006A3467">
      <w:r>
        <w:t xml:space="preserve">The FEWS index method can be extended to the case of property data and, in particular, has been used recently by Stats NZ and MBIE to develop a rental price index based on tenancy </w:t>
      </w:r>
      <w:r>
        <w:lastRenderedPageBreak/>
        <w:t>bond data</w:t>
      </w:r>
      <w:r w:rsidR="000A4A77">
        <w:t xml:space="preserve"> from MBIE</w:t>
      </w:r>
      <w:r>
        <w:t xml:space="preserve"> (Bentley, 2018).  From 2019 this rental index has been incorporated into the New Zealand </w:t>
      </w:r>
      <w:r w:rsidR="00CD51DD">
        <w:t>Consumers Price Index</w:t>
      </w:r>
      <w:r>
        <w:t xml:space="preserve"> (Stats NZ, 2019).</w:t>
      </w:r>
      <w:r w:rsidR="00F30B38">
        <w:t xml:space="preserve"> </w:t>
      </w:r>
    </w:p>
    <w:p w:rsidR="00D9016C" w:rsidRDefault="00D9016C" w:rsidP="00D9016C">
      <w:pPr>
        <w:pStyle w:val="Heading2"/>
      </w:pPr>
      <w:r>
        <w:t>New Zealand</w:t>
      </w:r>
      <w:r w:rsidR="000A4A77">
        <w:t>’s</w:t>
      </w:r>
      <w:r w:rsidR="00AD64AC">
        <w:t xml:space="preserve"> rich</w:t>
      </w:r>
      <w:r>
        <w:t xml:space="preserve"> property data </w:t>
      </w:r>
      <w:r w:rsidR="00CD51DD">
        <w:t>enables</w:t>
      </w:r>
      <w:r>
        <w:t xml:space="preserve"> decompos</w:t>
      </w:r>
      <w:r w:rsidR="00CD51DD">
        <w:t>i</w:t>
      </w:r>
      <w:r>
        <w:t>tion into land and structure components</w:t>
      </w:r>
    </w:p>
    <w:p w:rsidR="00160762" w:rsidRDefault="00804D4B" w:rsidP="006A3467">
      <w:r>
        <w:t>The richness of New Zealand property sales and valuation data means we can produce a more robust property price index than the SPAR method by using a FEWS index</w:t>
      </w:r>
      <w:r w:rsidR="00D35620">
        <w:t xml:space="preserve"> which, in the context of property prices</w:t>
      </w:r>
      <w:r w:rsidR="00160762">
        <w:t>,</w:t>
      </w:r>
      <w:r w:rsidR="00D35620">
        <w:t xml:space="preserve"> we call</w:t>
      </w:r>
      <w:r w:rsidR="007B00E2">
        <w:t xml:space="preserve"> the Sales Appraisal Fixed Effects (SAFE) index</w:t>
      </w:r>
      <w:r>
        <w:t xml:space="preserve">. </w:t>
      </w:r>
    </w:p>
    <w:p w:rsidR="00160762" w:rsidRDefault="007B00E2" w:rsidP="006A3467">
      <w:r>
        <w:t>Further</w:t>
      </w:r>
      <w:r w:rsidR="00804D4B">
        <w:t>, we can estimate the land and structure components of the overall property sale price by applying the relevant ratios derived from the most recent land and property valuations</w:t>
      </w:r>
      <w:r w:rsidR="00CD51DD">
        <w:t xml:space="preserve"> to the sale price of the property</w:t>
      </w:r>
      <w:r w:rsidR="00804D4B">
        <w:t xml:space="preserve">.  By estimating the </w:t>
      </w:r>
      <w:r>
        <w:t>SAFE</w:t>
      </w:r>
      <w:r w:rsidR="00804D4B">
        <w:t xml:space="preserve"> index separately for each of the land, structure and combined property sales prices we can decompose the property price index into land and st</w:t>
      </w:r>
      <w:r w:rsidR="002162CD">
        <w:t>ructure components. We call these</w:t>
      </w:r>
      <w:r w:rsidR="00804D4B">
        <w:t xml:space="preserve"> the Sales Appraisal Fixed Effects</w:t>
      </w:r>
      <w:r>
        <w:t xml:space="preserve"> decomposition</w:t>
      </w:r>
      <w:r w:rsidR="002162CD">
        <w:t xml:space="preserve"> indexes</w:t>
      </w:r>
      <w:r w:rsidR="000A4A77">
        <w:t xml:space="preserve"> – the SAFE(d) indexes</w:t>
      </w:r>
      <w:r w:rsidR="00CD51DD">
        <w:t>.</w:t>
      </w:r>
    </w:p>
    <w:p w:rsidR="00804D4B" w:rsidRDefault="00823B30" w:rsidP="006A3467">
      <w:r>
        <w:t>This adds to the</w:t>
      </w:r>
      <w:r w:rsidR="000A4A77">
        <w:t xml:space="preserve"> current</w:t>
      </w:r>
      <w:r>
        <w:t xml:space="preserve"> literature on decomposition of property price indexes into land and structure components, such as the hedonic ‘builder</w:t>
      </w:r>
      <w:r w:rsidR="00CD51DD">
        <w:t>’</w:t>
      </w:r>
      <w:r>
        <w:t xml:space="preserve">s model’ described in de Haan, Diewert and Hendriks (2011) and developed further in </w:t>
      </w:r>
      <w:r>
        <w:rPr>
          <w:lang w:val="de-DE"/>
        </w:rPr>
        <w:t>Diewert</w:t>
      </w:r>
      <w:r>
        <w:rPr>
          <w:lang w:val="de-DE"/>
        </w:rPr>
        <w:t xml:space="preserve"> and </w:t>
      </w:r>
      <w:r>
        <w:rPr>
          <w:lang w:val="it-IT"/>
        </w:rPr>
        <w:t xml:space="preserve">Shimizu </w:t>
      </w:r>
      <w:r>
        <w:rPr>
          <w:lang w:val="it-IT"/>
        </w:rPr>
        <w:t>(2015)</w:t>
      </w:r>
      <w:r>
        <w:rPr>
          <w:lang w:val="it-IT"/>
        </w:rPr>
        <w:t>.</w:t>
      </w:r>
    </w:p>
    <w:p w:rsidR="00BC0514" w:rsidRDefault="00804D4B" w:rsidP="006A3467">
      <w:r>
        <w:t xml:space="preserve">In this paper we </w:t>
      </w:r>
      <w:r w:rsidR="00160762">
        <w:t>present</w:t>
      </w:r>
      <w:r>
        <w:t xml:space="preserve"> </w:t>
      </w:r>
      <w:r w:rsidR="00CD51DD">
        <w:t>SAFE(</w:t>
      </w:r>
      <w:r w:rsidR="002162CD">
        <w:t>d</w:t>
      </w:r>
      <w:r w:rsidR="00CD51DD">
        <w:t>)</w:t>
      </w:r>
      <w:r w:rsidR="002162CD">
        <w:t xml:space="preserve"> </w:t>
      </w:r>
      <w:r>
        <w:t>index</w:t>
      </w:r>
      <w:r w:rsidR="002162CD">
        <w:t>es</w:t>
      </w:r>
      <w:r>
        <w:t xml:space="preserve"> </w:t>
      </w:r>
      <w:r w:rsidR="00CD51DD">
        <w:t>using</w:t>
      </w:r>
      <w:r>
        <w:t xml:space="preserve"> </w:t>
      </w:r>
      <w:r w:rsidR="00BC0514">
        <w:t xml:space="preserve">25 years of </w:t>
      </w:r>
      <w:r w:rsidR="00CD51DD">
        <w:t xml:space="preserve">New Zealand </w:t>
      </w:r>
      <w:r w:rsidR="002162CD">
        <w:t>property data</w:t>
      </w:r>
      <w:r w:rsidR="00CD51DD">
        <w:t xml:space="preserve"> from CoreLogic</w:t>
      </w:r>
      <w:r>
        <w:t xml:space="preserve">. Once fully developed, these measures </w:t>
      </w:r>
      <w:r w:rsidR="002162CD">
        <w:t xml:space="preserve">are likely to </w:t>
      </w:r>
      <w:r>
        <w:t>be incorporated into the suite of housing and property measures produced and disseminated by MBIE and the Ministry for Housing and Urban Development (HUD).</w:t>
      </w:r>
    </w:p>
    <w:p w:rsidR="00A03761" w:rsidRDefault="00BC0514" w:rsidP="006A3467">
      <w:r>
        <w:t xml:space="preserve">Note that these preliminary results are based on a 1% sample of sold properties for the national (NZ) indexes and 10% samples of sold properties at the territorial authority (TA) level for the city indexes. </w:t>
      </w:r>
      <w:r w:rsidR="00160762">
        <w:t>Note also that they are</w:t>
      </w:r>
      <w:r>
        <w:t xml:space="preserve"> </w:t>
      </w:r>
      <w:r w:rsidR="00160762">
        <w:t>flow, rather than stock, measures. Corresponding stock indexes are a straighforward extension of the method.</w:t>
      </w:r>
    </w:p>
    <w:p w:rsidR="00051D79" w:rsidRDefault="00051D79">
      <w:pPr>
        <w:spacing w:before="0" w:after="200" w:line="276" w:lineRule="auto"/>
      </w:pPr>
      <w:r>
        <w:br w:type="page"/>
      </w:r>
    </w:p>
    <w:p w:rsidR="00051D79" w:rsidRDefault="00051D79" w:rsidP="006A3467"/>
    <w:p w:rsidR="006A3467" w:rsidRDefault="002162CD" w:rsidP="001C134E">
      <w:pPr>
        <w:pStyle w:val="Heading2"/>
      </w:pPr>
      <w:r>
        <w:t>The Sales Appraisal Fixed Effects decomposition</w:t>
      </w:r>
      <w:r w:rsidR="006A3467">
        <w:t xml:space="preserve"> </w:t>
      </w:r>
      <w:r w:rsidR="00CD51DD">
        <w:t>will give</w:t>
      </w:r>
      <w:r w:rsidR="006A3467">
        <w:t xml:space="preserve"> us new </w:t>
      </w:r>
      <w:r w:rsidR="00CD51DD">
        <w:t>insight</w:t>
      </w:r>
      <w:r w:rsidR="006A3467">
        <w:t xml:space="preserve"> into the New Zealand property market</w:t>
      </w:r>
    </w:p>
    <w:p w:rsidR="006A3467" w:rsidRDefault="00DB6BBA" w:rsidP="001C134E">
      <w:pPr>
        <w:pStyle w:val="Heading3"/>
      </w:pPr>
      <w:r>
        <w:rPr>
          <w:lang w:val="en-US"/>
        </w:rPr>
        <w:t>R</w:t>
      </w:r>
      <w:r w:rsidR="006A3467">
        <w:rPr>
          <w:lang w:val="en-US"/>
        </w:rPr>
        <w:t>esidential land prices</w:t>
      </w:r>
      <w:r>
        <w:rPr>
          <w:lang w:val="en-US"/>
        </w:rPr>
        <w:t xml:space="preserve"> in New Zealand</w:t>
      </w:r>
      <w:r w:rsidR="006A3467">
        <w:rPr>
          <w:lang w:val="en-US"/>
        </w:rPr>
        <w:t xml:space="preserve"> have increased </w:t>
      </w:r>
      <w:r w:rsidR="00E03F72">
        <w:rPr>
          <w:lang w:val="en-US"/>
        </w:rPr>
        <w:t>eight-fold</w:t>
      </w:r>
      <w:r w:rsidR="006A3467">
        <w:rPr>
          <w:lang w:val="en-US"/>
        </w:rPr>
        <w:t xml:space="preserve"> over the last 25 years</w:t>
      </w:r>
    </w:p>
    <w:p w:rsidR="006A3467" w:rsidRDefault="006A3467" w:rsidP="00412CE6">
      <w:r>
        <w:t>The land price index in 2018 is 9.27, compared to the base value of 1 at 1993.</w:t>
      </w:r>
    </w:p>
    <w:p w:rsidR="00AA7409" w:rsidRDefault="00E03F72" w:rsidP="00991DF9">
      <w:pPr>
        <w:pStyle w:val="Sub-heading1"/>
        <w:rPr>
          <w:noProof/>
          <w:lang w:eastAsia="en-NZ"/>
        </w:rPr>
      </w:pPr>
      <w:r>
        <w:t>Figure 1. New Zealand residential land prices</w:t>
      </w:r>
    </w:p>
    <w:tbl>
      <w:tblPr>
        <w:tblStyle w:val="TableGrid"/>
        <w:tblW w:w="0" w:type="auto"/>
        <w:tblLook w:val="04A0" w:firstRow="1" w:lastRow="0" w:firstColumn="1" w:lastColumn="0" w:noHBand="0" w:noVBand="1"/>
      </w:tblPr>
      <w:tblGrid>
        <w:gridCol w:w="8720"/>
      </w:tblGrid>
      <w:tr w:rsidR="002162CD" w:rsidTr="002162CD">
        <w:tc>
          <w:tcPr>
            <w:tcW w:w="8720" w:type="dxa"/>
          </w:tcPr>
          <w:p w:rsidR="002162CD" w:rsidRDefault="00DD6C4F" w:rsidP="00991DF9">
            <w:pPr>
              <w:pStyle w:val="Sub-heading1"/>
            </w:pPr>
            <w:r>
              <w:object w:dxaOrig="8376" w:dyaOrig="5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7" type="#_x0000_t75" style="width:426pt;height:289.8pt" o:ole="">
                  <v:imagedata r:id="rId10" o:title=""/>
                </v:shape>
                <o:OLEObject Type="Embed" ProgID="PBrush" ShapeID="_x0000_i1807" DrawAspect="Content" ObjectID="_1621689927" r:id="rId11"/>
              </w:object>
            </w:r>
          </w:p>
        </w:tc>
      </w:tr>
    </w:tbl>
    <w:p w:rsidR="00051D79" w:rsidRDefault="00051D79" w:rsidP="00991DF9">
      <w:pPr>
        <w:pStyle w:val="Sub-heading1"/>
      </w:pPr>
    </w:p>
    <w:p w:rsidR="00051D79" w:rsidRDefault="00051D79">
      <w:pPr>
        <w:spacing w:before="0" w:after="200" w:line="276" w:lineRule="auto"/>
        <w:rPr>
          <w:rFonts w:ascii="Calibri" w:hAnsi="Calibri" w:cs="Calibri"/>
          <w:b/>
          <w:bCs/>
          <w:color w:val="000000"/>
          <w:lang w:val="en-US"/>
        </w:rPr>
      </w:pPr>
      <w:r>
        <w:br w:type="page"/>
      </w:r>
    </w:p>
    <w:p w:rsidR="002162CD" w:rsidRDefault="002162CD" w:rsidP="00991DF9">
      <w:pPr>
        <w:pStyle w:val="Sub-heading1"/>
      </w:pPr>
    </w:p>
    <w:p w:rsidR="006A3467" w:rsidRDefault="006A3467" w:rsidP="001C134E">
      <w:pPr>
        <w:pStyle w:val="Heading3"/>
      </w:pPr>
      <w:r>
        <w:rPr>
          <w:lang w:val="en-US"/>
        </w:rPr>
        <w:t>Auckland</w:t>
      </w:r>
      <w:r w:rsidR="00DB6BBA">
        <w:rPr>
          <w:lang w:val="en-US"/>
        </w:rPr>
        <w:t xml:space="preserve"> city</w:t>
      </w:r>
      <w:r>
        <w:rPr>
          <w:lang w:val="en-US"/>
        </w:rPr>
        <w:t xml:space="preserve"> residential land prices have increased at </w:t>
      </w:r>
      <w:r w:rsidR="00DB6BBA">
        <w:rPr>
          <w:lang w:val="en-US"/>
        </w:rPr>
        <w:t>more than twice</w:t>
      </w:r>
      <w:r>
        <w:rPr>
          <w:lang w:val="en-US"/>
        </w:rPr>
        <w:t xml:space="preserve"> the rate of  Christchurch </w:t>
      </w:r>
      <w:r w:rsidR="00DB6BBA">
        <w:rPr>
          <w:lang w:val="en-US"/>
        </w:rPr>
        <w:t xml:space="preserve">city </w:t>
      </w:r>
    </w:p>
    <w:p w:rsidR="006A3467" w:rsidRDefault="006A3467" w:rsidP="00F41563">
      <w:r>
        <w:t>The Auckland city land price index in 2018 is 13.7, compared to the Christchurch city land price index of 5.6.</w:t>
      </w:r>
    </w:p>
    <w:p w:rsidR="00AA7409" w:rsidRDefault="00AA7409" w:rsidP="00AA7409">
      <w:pPr>
        <w:pStyle w:val="Sub-heading1"/>
      </w:pPr>
      <w:r>
        <w:t>Figure 2</w:t>
      </w:r>
      <w:r>
        <w:t xml:space="preserve">. </w:t>
      </w:r>
      <w:r>
        <w:t>Auckland city</w:t>
      </w:r>
      <w:r>
        <w:t xml:space="preserve"> residential land prices</w:t>
      </w:r>
      <w:r>
        <w:t xml:space="preserve"> compared to Christchurch city</w:t>
      </w:r>
    </w:p>
    <w:tbl>
      <w:tblPr>
        <w:tblStyle w:val="TableGrid"/>
        <w:tblW w:w="0" w:type="auto"/>
        <w:tblLook w:val="04A0" w:firstRow="1" w:lastRow="0" w:firstColumn="1" w:lastColumn="0" w:noHBand="0" w:noVBand="1"/>
      </w:tblPr>
      <w:tblGrid>
        <w:gridCol w:w="8720"/>
      </w:tblGrid>
      <w:tr w:rsidR="00DD6C4F" w:rsidTr="00DD6C4F">
        <w:tc>
          <w:tcPr>
            <w:tcW w:w="8720" w:type="dxa"/>
          </w:tcPr>
          <w:p w:rsidR="00DD6C4F" w:rsidRDefault="00DD6C4F" w:rsidP="00F41563">
            <w:r>
              <w:object w:dxaOrig="7920" w:dyaOrig="4932">
                <v:shape id="_x0000_i1808" type="#_x0000_t75" style="width:426pt;height:265.2pt" o:ole="">
                  <v:imagedata r:id="rId12" o:title=""/>
                </v:shape>
                <o:OLEObject Type="Embed" ProgID="PBrush" ShapeID="_x0000_i1808" DrawAspect="Content" ObjectID="_1621689928" r:id="rId13"/>
              </w:object>
            </w:r>
          </w:p>
        </w:tc>
      </w:tr>
    </w:tbl>
    <w:p w:rsidR="00051D79" w:rsidRDefault="00051D79" w:rsidP="00F41563"/>
    <w:p w:rsidR="00051D79" w:rsidRDefault="00051D79">
      <w:pPr>
        <w:spacing w:before="0" w:after="200" w:line="276" w:lineRule="auto"/>
      </w:pPr>
      <w:r>
        <w:br w:type="page"/>
      </w:r>
    </w:p>
    <w:p w:rsidR="00AA7409" w:rsidRDefault="00AA7409" w:rsidP="00F41563"/>
    <w:p w:rsidR="006A3467" w:rsidRDefault="006A3467" w:rsidP="001C134E">
      <w:pPr>
        <w:pStyle w:val="Heading3"/>
      </w:pPr>
      <w:r>
        <w:rPr>
          <w:lang w:val="en-US"/>
        </w:rPr>
        <w:t xml:space="preserve">Land prices contributed </w:t>
      </w:r>
      <w:r w:rsidR="00292DE2">
        <w:rPr>
          <w:lang w:val="en-US"/>
        </w:rPr>
        <w:t>one-third</w:t>
      </w:r>
      <w:r>
        <w:rPr>
          <w:lang w:val="en-US"/>
        </w:rPr>
        <w:t xml:space="preserve"> of the increase in NZ residential property prices over the last 25 years</w:t>
      </w:r>
    </w:p>
    <w:p w:rsidR="006A3467" w:rsidRDefault="006A3467" w:rsidP="00F41563">
      <w:r>
        <w:t>New Zealand property prices rose 490% over the last 25 years</w:t>
      </w:r>
      <w:r w:rsidR="006A71BF">
        <w:rPr>
          <w:rStyle w:val="FootnoteReference"/>
        </w:rPr>
        <w:footnoteReference w:id="4"/>
      </w:r>
      <w:r>
        <w:t xml:space="preserve">. Structure prices increased 330%. So the </w:t>
      </w:r>
      <w:r w:rsidR="006A71BF">
        <w:t xml:space="preserve">830% </w:t>
      </w:r>
      <w:r>
        <w:t>increase in land prices</w:t>
      </w:r>
      <w:r w:rsidR="006A71BF">
        <w:t xml:space="preserve"> over the same period</w:t>
      </w:r>
      <w:r>
        <w:t xml:space="preserve"> contributed 33% of the increase in New Zealand property prices</w:t>
      </w:r>
      <w:r w:rsidR="006A71BF">
        <w:rPr>
          <w:rStyle w:val="FootnoteReference"/>
        </w:rPr>
        <w:footnoteReference w:id="5"/>
      </w:r>
      <w:r>
        <w:t>.</w:t>
      </w:r>
    </w:p>
    <w:p w:rsidR="00292DE2" w:rsidRDefault="00292DE2" w:rsidP="00292DE2">
      <w:pPr>
        <w:pStyle w:val="Sub-heading1"/>
      </w:pPr>
      <w:r>
        <w:t xml:space="preserve">Figure </w:t>
      </w:r>
      <w:r>
        <w:t>3</w:t>
      </w:r>
      <w:r>
        <w:t xml:space="preserve">. </w:t>
      </w:r>
      <w:r>
        <w:t>N</w:t>
      </w:r>
      <w:r w:rsidR="00991DF9">
        <w:t>ew Zealand r</w:t>
      </w:r>
      <w:r>
        <w:t>esidential property, structure and land prices</w:t>
      </w:r>
    </w:p>
    <w:tbl>
      <w:tblPr>
        <w:tblStyle w:val="TableGrid"/>
        <w:tblW w:w="0" w:type="auto"/>
        <w:tblLook w:val="04A0" w:firstRow="1" w:lastRow="0" w:firstColumn="1" w:lastColumn="0" w:noHBand="0" w:noVBand="1"/>
      </w:tblPr>
      <w:tblGrid>
        <w:gridCol w:w="8720"/>
      </w:tblGrid>
      <w:tr w:rsidR="00DD6C4F" w:rsidTr="00DD6C4F">
        <w:tc>
          <w:tcPr>
            <w:tcW w:w="8720" w:type="dxa"/>
          </w:tcPr>
          <w:p w:rsidR="00DD6C4F" w:rsidRDefault="00DD6C4F" w:rsidP="00292DE2">
            <w:pPr>
              <w:pStyle w:val="Sub-heading1"/>
            </w:pPr>
            <w:r>
              <w:object w:dxaOrig="7080" w:dyaOrig="4236">
                <v:shape id="_x0000_i1817" type="#_x0000_t75" style="width:426pt;height:255pt" o:ole="">
                  <v:imagedata r:id="rId14" o:title=""/>
                </v:shape>
                <o:OLEObject Type="Embed" ProgID="PBrush" ShapeID="_x0000_i1817" DrawAspect="Content" ObjectID="_1621689929" r:id="rId15"/>
              </w:object>
            </w:r>
          </w:p>
        </w:tc>
      </w:tr>
    </w:tbl>
    <w:p w:rsidR="006A71BF" w:rsidRDefault="006A71BF" w:rsidP="00292DE2">
      <w:pPr>
        <w:pStyle w:val="Sub-heading1"/>
      </w:pPr>
    </w:p>
    <w:p w:rsidR="006A3467" w:rsidRDefault="00A03761" w:rsidP="00D9016C">
      <w:pPr>
        <w:pStyle w:val="Heading2"/>
      </w:pPr>
      <w:r>
        <w:rPr>
          <w:lang w:val="en-US"/>
        </w:rPr>
        <w:t xml:space="preserve">Improved </w:t>
      </w:r>
      <w:r w:rsidR="006A3467">
        <w:rPr>
          <w:lang w:val="en-US"/>
        </w:rPr>
        <w:t xml:space="preserve">land price indexes and price-cost ratios </w:t>
      </w:r>
      <w:r>
        <w:rPr>
          <w:lang w:val="en-US"/>
        </w:rPr>
        <w:t>can be estimated using the SAFE(d) approach</w:t>
      </w:r>
    </w:p>
    <w:p w:rsidR="006A3467" w:rsidRDefault="006A3467" w:rsidP="00F41563">
      <w:r>
        <w:t>Land price indexes for New Zealand are currently based directly on valuation data, which lag</w:t>
      </w:r>
      <w:r w:rsidR="00A03761">
        <w:t>s</w:t>
      </w:r>
      <w:r>
        <w:t xml:space="preserve"> </w:t>
      </w:r>
      <w:r w:rsidR="00A03761">
        <w:t xml:space="preserve">the </w:t>
      </w:r>
      <w:r>
        <w:t>market value</w:t>
      </w:r>
      <w:r w:rsidR="00A03761">
        <w:t xml:space="preserve"> reflected by sales prices</w:t>
      </w:r>
      <w:r>
        <w:t xml:space="preserve">. </w:t>
      </w:r>
    </w:p>
    <w:p w:rsidR="006A3467" w:rsidRDefault="006A3467" w:rsidP="00991DF9">
      <w:r>
        <w:t xml:space="preserve">MBIE has </w:t>
      </w:r>
      <w:r w:rsidR="000A4A77">
        <w:t xml:space="preserve">also </w:t>
      </w:r>
      <w:r>
        <w:t xml:space="preserve">produced a sales-price appraisal ratio </w:t>
      </w:r>
      <w:r w:rsidR="007E67F2">
        <w:t>(</w:t>
      </w:r>
      <w:r>
        <w:t>SPAR</w:t>
      </w:r>
      <w:r w:rsidR="007E67F2">
        <w:t>)</w:t>
      </w:r>
      <w:r>
        <w:t xml:space="preserve"> index split int</w:t>
      </w:r>
      <w:r w:rsidR="00A03761">
        <w:t>o land and structure components</w:t>
      </w:r>
      <w:r>
        <w:t xml:space="preserve"> as part of its National Policy Statement on Urban Development Capacity (NPS-UDC) dashboard</w:t>
      </w:r>
      <w:r>
        <w:rPr>
          <w:rFonts w:ascii="Helvetica Neue" w:eastAsia="Helvetica Neue" w:hAnsi="Helvetica Neue" w:cs="Helvetica Neue"/>
          <w:vertAlign w:val="superscript"/>
        </w:rPr>
        <w:footnoteReference w:id="6"/>
      </w:r>
      <w:r w:rsidR="007E67F2">
        <w:t xml:space="preserve"> but this </w:t>
      </w:r>
      <w:r w:rsidR="00A03761">
        <w:t>has not been widely disseminated outside</w:t>
      </w:r>
      <w:r w:rsidR="007E67F2">
        <w:t xml:space="preserve"> the context of the NPS-UDC</w:t>
      </w:r>
      <w:r>
        <w:t xml:space="preserve">. Unlike the SPAR, the </w:t>
      </w:r>
      <w:r w:rsidR="007E67F2">
        <w:t>S</w:t>
      </w:r>
      <w:r w:rsidR="00A03761">
        <w:t>AFE(</w:t>
      </w:r>
      <w:r w:rsidR="007E67F2">
        <w:t>d</w:t>
      </w:r>
      <w:r w:rsidR="00A03761">
        <w:t>)</w:t>
      </w:r>
      <w:r>
        <w:t xml:space="preserve"> approa</w:t>
      </w:r>
      <w:r w:rsidR="007E67F2">
        <w:t>ch incorporates independent</w:t>
      </w:r>
      <w:r>
        <w:t xml:space="preserve"> error term</w:t>
      </w:r>
      <w:r w:rsidR="007E67F2">
        <w:t xml:space="preserve">s for each of the land, structure and total property models, so it will </w:t>
      </w:r>
      <w:r>
        <w:t xml:space="preserve">less biased by the implicit models used by </w:t>
      </w:r>
      <w:r w:rsidR="00A03761">
        <w:t xml:space="preserve">individual </w:t>
      </w:r>
      <w:r>
        <w:t>valuers when assessing the implicit value of the land component of properties that include a dwelling.</w:t>
      </w:r>
    </w:p>
    <w:p w:rsidR="006A3467" w:rsidRDefault="001C134E" w:rsidP="00823B30">
      <w:r>
        <w:lastRenderedPageBreak/>
        <w:t>A</w:t>
      </w:r>
      <w:r w:rsidR="007E67F2">
        <w:t xml:space="preserve">n obvious </w:t>
      </w:r>
      <w:r w:rsidR="00A03761">
        <w:t>extension of the SAFE(</w:t>
      </w:r>
      <w:r w:rsidR="007E67F2">
        <w:t>d</w:t>
      </w:r>
      <w:r w:rsidR="00A03761">
        <w:t xml:space="preserve">) </w:t>
      </w:r>
      <w:r>
        <w:t xml:space="preserve">index will be to derive price-to-cost (ie property to structure) ratios for the entire New Zealand residential property stock. Currently these measures are available only for </w:t>
      </w:r>
      <w:r w:rsidR="007823A8">
        <w:t>stand-alone houses and use proxied construction costs for structure prices (MBIE &amp; MfE, 2017).</w:t>
      </w:r>
    </w:p>
    <w:p w:rsidR="00823B30" w:rsidRDefault="00053D2D" w:rsidP="00053D2D">
      <w:pPr>
        <w:pStyle w:val="Heading2"/>
      </w:pPr>
      <w:r>
        <w:t>Conclusion</w:t>
      </w:r>
    </w:p>
    <w:p w:rsidR="00053D2D" w:rsidRDefault="00053D2D" w:rsidP="00053D2D">
      <w:r>
        <w:t xml:space="preserve">We have shown that extending recently developed multilateral price index methods to property data will give us useful new measures </w:t>
      </w:r>
      <w:r w:rsidR="00A03761">
        <w:t xml:space="preserve">to </w:t>
      </w:r>
      <w:r w:rsidR="000A4A77">
        <w:t>provide</w:t>
      </w:r>
      <w:r>
        <w:t xml:space="preserve"> a </w:t>
      </w:r>
      <w:r w:rsidR="000A4A77">
        <w:t xml:space="preserve">much </w:t>
      </w:r>
      <w:r>
        <w:t>richer picture of New Zealand’s property market.</w:t>
      </w:r>
    </w:p>
    <w:p w:rsidR="000A4A77" w:rsidRPr="00053D2D" w:rsidRDefault="000A4A77" w:rsidP="00053D2D">
      <w:r>
        <w:t>The appendix shows the full set of preliminary results for New Zealand and four main cities (defined at the territorial authority level).</w:t>
      </w:r>
    </w:p>
    <w:p w:rsidR="006A3467" w:rsidRDefault="006A3467" w:rsidP="006A3467">
      <w:pPr>
        <w:pStyle w:val="Body"/>
      </w:pPr>
    </w:p>
    <w:p w:rsidR="006A3467" w:rsidRDefault="006A3467" w:rsidP="001C134E">
      <w:pPr>
        <w:pStyle w:val="Heading2"/>
      </w:pPr>
      <w:r>
        <w:t>References</w:t>
      </w:r>
    </w:p>
    <w:p w:rsidR="00A6080E" w:rsidRDefault="00A6080E" w:rsidP="00A6080E">
      <w:r>
        <w:t xml:space="preserve">Armstrong, J., Dunstan, A., Irrcher, T. (2017). </w:t>
      </w:r>
      <w:hyperlink r:id="rId16" w:history="1">
        <w:r w:rsidRPr="00A6080E">
          <w:rPr>
            <w:rStyle w:val="Hyperlink"/>
          </w:rPr>
          <w:t>Evaluating alternative monthly house price measures for New Zealand</w:t>
        </w:r>
      </w:hyperlink>
      <w:r>
        <w:t>. Reserve Bank of New Zealand Analytical Note Series. ISSN 2230-5505</w:t>
      </w:r>
    </w:p>
    <w:p w:rsidR="006A3467" w:rsidRDefault="006A3467" w:rsidP="006A3467">
      <w:r>
        <w:t xml:space="preserve">De </w:t>
      </w:r>
      <w:r w:rsidRPr="006A3467">
        <w:t>Haan, J</w:t>
      </w:r>
      <w:r>
        <w:t>.</w:t>
      </w:r>
      <w:r w:rsidRPr="006A3467">
        <w:t xml:space="preserve"> &amp; Diewert, W</w:t>
      </w:r>
      <w:r>
        <w:t>.E.</w:t>
      </w:r>
      <w:r w:rsidRPr="006A3467">
        <w:t xml:space="preserve"> &amp; Hendriks, R. (2011). </w:t>
      </w:r>
      <w:hyperlink r:id="rId17" w:history="1">
        <w:r w:rsidRPr="006A3467">
          <w:rPr>
            <w:rStyle w:val="Hyperlink"/>
          </w:rPr>
          <w:t>Hedonic Regressions and the Decomposition of a House Price Index into Land and Structure Components</w:t>
        </w:r>
      </w:hyperlink>
      <w:r w:rsidRPr="006A3467">
        <w:t>. Econometric Reviews. 34. 10.1080/07474938.2014.944791.</w:t>
      </w:r>
    </w:p>
    <w:p w:rsidR="006A3467" w:rsidRDefault="006A3467" w:rsidP="006A3467">
      <w:r>
        <w:t>De Haan, J.</w:t>
      </w:r>
      <w:r>
        <w:rPr>
          <w:lang w:val="it-IT"/>
        </w:rPr>
        <w:t xml:space="preserve"> &amp; Krsinich, F. (2017). </w:t>
      </w:r>
      <w:hyperlink r:id="rId18" w:history="1">
        <w:r>
          <w:rPr>
            <w:rStyle w:val="Hyperlink0"/>
          </w:rPr>
          <w:t>Time Dummy Hedon</w:t>
        </w:r>
        <w:r>
          <w:rPr>
            <w:rStyle w:val="Hyperlink0"/>
          </w:rPr>
          <w:t>i</w:t>
        </w:r>
        <w:r>
          <w:rPr>
            <w:rStyle w:val="Hyperlink0"/>
          </w:rPr>
          <w:t>c and Quality-Adjusted Unit Value Indexes: Do They Really Differ?</w:t>
        </w:r>
      </w:hyperlink>
      <w:r>
        <w:t xml:space="preserve">. Review of Income and Wealth. 64. 10.1111/roiw.12304. </w:t>
      </w:r>
    </w:p>
    <w:p w:rsidR="006A3467" w:rsidRDefault="006A3467" w:rsidP="006A3467">
      <w:pPr>
        <w:rPr>
          <w:lang w:val="it-IT"/>
        </w:rPr>
      </w:pPr>
      <w:r>
        <w:rPr>
          <w:lang w:val="de-DE"/>
        </w:rPr>
        <w:t>Diewert, W</w:t>
      </w:r>
      <w:r>
        <w:t>.E</w:t>
      </w:r>
      <w:r>
        <w:rPr>
          <w:lang w:val="it-IT"/>
        </w:rPr>
        <w:t xml:space="preserve"> &amp; Shimizu, C. (2015). </w:t>
      </w:r>
      <w:hyperlink r:id="rId19" w:history="1">
        <w:r>
          <w:rPr>
            <w:rStyle w:val="Hyperlink0"/>
          </w:rPr>
          <w:t>Residential property price indices for Tokyo</w:t>
        </w:r>
      </w:hyperlink>
      <w:r>
        <w:rPr>
          <w:lang w:val="it-IT"/>
        </w:rPr>
        <w:t xml:space="preserve">. Macroeconomic Dynamics. -1. 1-56. 10.1017/S1365100514000042. </w:t>
      </w:r>
    </w:p>
    <w:p w:rsidR="00C95E48" w:rsidRDefault="00C95E48" w:rsidP="006A3467">
      <w:r>
        <w:rPr>
          <w:lang w:val="it-IT"/>
        </w:rPr>
        <w:t xml:space="preserve">Dubner, M. &amp; Krsinich, F. (2010). </w:t>
      </w:r>
      <w:hyperlink r:id="rId20" w:history="1">
        <w:r w:rsidRPr="00F26B77">
          <w:rPr>
            <w:rStyle w:val="Hyperlink"/>
            <w:lang w:val="it-IT"/>
          </w:rPr>
          <w:t>House price measurement in New Zealand and Australia</w:t>
        </w:r>
      </w:hyperlink>
      <w:r>
        <w:rPr>
          <w:lang w:val="it-IT"/>
        </w:rPr>
        <w:t xml:space="preserve">. Paper presented at the 2010 UNECE/ILO </w:t>
      </w:r>
      <w:r w:rsidR="00F26B77">
        <w:rPr>
          <w:lang w:val="it-IT"/>
        </w:rPr>
        <w:t>Meeting of the group of experts on Consumer Price Indices, Geneva, Switzerland.</w:t>
      </w:r>
    </w:p>
    <w:p w:rsidR="006A3467" w:rsidRDefault="006A3467" w:rsidP="006A3467">
      <w:r>
        <w:t xml:space="preserve">Bentley, A. &amp; Krsinich, F . (2017) </w:t>
      </w:r>
      <w:hyperlink r:id="rId21" w:history="1">
        <w:r>
          <w:rPr>
            <w:rStyle w:val="Hyperlink0"/>
          </w:rPr>
          <w:t>Towards a big data CPI for New Zealand</w:t>
        </w:r>
      </w:hyperlink>
      <w:r>
        <w:t xml:space="preserve">. Paper presented at the 2017 Ottawa Group, Eltville, Germany. </w:t>
      </w:r>
    </w:p>
    <w:p w:rsidR="006A3467" w:rsidRDefault="006A3467" w:rsidP="006A3467">
      <w:r>
        <w:t xml:space="preserve">Bentley, A. (2018). </w:t>
      </w:r>
      <w:hyperlink r:id="rId22" w:history="1">
        <w:r>
          <w:rPr>
            <w:rStyle w:val="Hyperlink0"/>
          </w:rPr>
          <w:t>Rentals for hou</w:t>
        </w:r>
        <w:r>
          <w:rPr>
            <w:rStyle w:val="Hyperlink0"/>
          </w:rPr>
          <w:t>s</w:t>
        </w:r>
        <w:r>
          <w:rPr>
            <w:rStyle w:val="Hyperlink0"/>
          </w:rPr>
          <w:t>ing: A model-based estimator of inflation from administrative data</w:t>
        </w:r>
      </w:hyperlink>
      <w:r>
        <w:t>. Paper presented at the 2018 Meeting of the Group of Experts on Consumer Price Indices, Geneva, Switzerland</w:t>
      </w:r>
    </w:p>
    <w:p w:rsidR="006A3467" w:rsidRDefault="006A3467" w:rsidP="006A3467">
      <w:r>
        <w:rPr>
          <w:lang w:val="it-IT"/>
        </w:rPr>
        <w:t xml:space="preserve">Krsinich, Frances. (2016). </w:t>
      </w:r>
      <w:hyperlink r:id="rId23" w:history="1">
        <w:r>
          <w:rPr>
            <w:rStyle w:val="Hyperlink0"/>
          </w:rPr>
          <w:t>The FEWS index: Fixed effects with a window splice</w:t>
        </w:r>
      </w:hyperlink>
      <w:r>
        <w:t xml:space="preserve">. Journal of Official Statistics. 32. 10.1515/jos-2016-0021. </w:t>
      </w:r>
    </w:p>
    <w:p w:rsidR="00C57B68" w:rsidRDefault="00C57B68" w:rsidP="006A3467">
      <w:r>
        <w:t xml:space="preserve">MBIE &amp; MfE (2017). </w:t>
      </w:r>
      <w:hyperlink r:id="rId24" w:history="1">
        <w:r w:rsidRPr="00C57B68">
          <w:rPr>
            <w:rStyle w:val="Hyperlink"/>
          </w:rPr>
          <w:t>National Policy Statement on Urban Development Capacity. Price efficiency indicators technical report: Price-cost ratios.</w:t>
        </w:r>
      </w:hyperlink>
      <w:r>
        <w:t xml:space="preserve"> </w:t>
      </w:r>
      <w:r w:rsidR="007823A8">
        <w:t>Ministry o</w:t>
      </w:r>
      <w:r w:rsidR="004773BA">
        <w:t>f Business, Innovation &amp; Employ</w:t>
      </w:r>
      <w:bookmarkStart w:id="0" w:name="_GoBack"/>
      <w:bookmarkEnd w:id="0"/>
      <w:r w:rsidR="007823A8">
        <w:t>ment and Ministry for the Environment technical report.</w:t>
      </w:r>
    </w:p>
    <w:p w:rsidR="00A6080E" w:rsidRDefault="00A6080E" w:rsidP="006A3467">
      <w:r>
        <w:t xml:space="preserve">OECD (2013). </w:t>
      </w:r>
      <w:hyperlink r:id="rId25" w:history="1">
        <w:r w:rsidRPr="008601B3">
          <w:rPr>
            <w:rStyle w:val="Hyperlink"/>
          </w:rPr>
          <w:t>Handbook on Residential Property Prices Indices (RPPIs)</w:t>
        </w:r>
      </w:hyperlink>
      <w:r>
        <w:t>. Eurostat Methodologies and Working papers. Luxembourg.</w:t>
      </w:r>
    </w:p>
    <w:p w:rsidR="008A6312" w:rsidRPr="00A6080E" w:rsidRDefault="008A6312" w:rsidP="006A3467">
      <w:r>
        <w:t>REINZ (2017)</w:t>
      </w:r>
      <w:r w:rsidR="00412CE6">
        <w:t xml:space="preserve">. </w:t>
      </w:r>
      <w:hyperlink r:id="rId26" w:history="1">
        <w:r w:rsidR="00412CE6" w:rsidRPr="00412CE6">
          <w:rPr>
            <w:rStyle w:val="Hyperlink"/>
          </w:rPr>
          <w:t>REINZ House Price Index</w:t>
        </w:r>
      </w:hyperlink>
      <w:r w:rsidR="00412CE6">
        <w:t>. Information note on REINZ website.</w:t>
      </w:r>
    </w:p>
    <w:p w:rsidR="00806E72" w:rsidRDefault="006A3467" w:rsidP="006A3467">
      <w:r>
        <w:t xml:space="preserve">Stats NZ (2019) </w:t>
      </w:r>
      <w:hyperlink r:id="rId27" w:history="1">
        <w:r w:rsidR="00412CE6" w:rsidRPr="00412CE6">
          <w:rPr>
            <w:rStyle w:val="Hyperlink"/>
          </w:rPr>
          <w:t>New methodology for rental prices in the CPI</w:t>
        </w:r>
      </w:hyperlink>
      <w:r w:rsidR="00412CE6">
        <w:t>. Information note on Stats NZ website.</w:t>
      </w:r>
    </w:p>
    <w:p w:rsidR="00051D79" w:rsidRDefault="00051D79">
      <w:pPr>
        <w:spacing w:before="0" w:after="200" w:line="276" w:lineRule="auto"/>
      </w:pPr>
      <w:r>
        <w:br w:type="page"/>
      </w:r>
    </w:p>
    <w:p w:rsidR="00A03761" w:rsidRDefault="00A03761" w:rsidP="006A3467"/>
    <w:p w:rsidR="00DE4658" w:rsidRDefault="006A3467" w:rsidP="001C134E">
      <w:pPr>
        <w:pStyle w:val="Heading2"/>
      </w:pPr>
      <w:r>
        <w:t>Appendix</w:t>
      </w:r>
    </w:p>
    <w:tbl>
      <w:tblPr>
        <w:tblStyle w:val="TableGrid"/>
        <w:tblW w:w="0" w:type="auto"/>
        <w:tblLook w:val="04A0" w:firstRow="1" w:lastRow="0" w:firstColumn="1" w:lastColumn="0" w:noHBand="0" w:noVBand="1"/>
      </w:tblPr>
      <w:tblGrid>
        <w:gridCol w:w="4316"/>
        <w:gridCol w:w="4404"/>
      </w:tblGrid>
      <w:tr w:rsidR="00C54AC5" w:rsidTr="00605B0C">
        <w:tc>
          <w:tcPr>
            <w:tcW w:w="4316" w:type="dxa"/>
          </w:tcPr>
          <w:p w:rsidR="00C54AC5" w:rsidRDefault="00C54AC5" w:rsidP="00806E72">
            <w:r>
              <w:t>Index</w:t>
            </w:r>
            <w:r w:rsidR="00806E72">
              <w:t>es</w:t>
            </w:r>
          </w:p>
        </w:tc>
        <w:tc>
          <w:tcPr>
            <w:tcW w:w="4404" w:type="dxa"/>
          </w:tcPr>
          <w:p w:rsidR="00C54AC5" w:rsidRDefault="00C54AC5" w:rsidP="00806E72">
            <w:r>
              <w:t>Annual % change</w:t>
            </w:r>
          </w:p>
        </w:tc>
      </w:tr>
      <w:tr w:rsidR="00C54AC5" w:rsidTr="00605B0C">
        <w:tc>
          <w:tcPr>
            <w:tcW w:w="4316" w:type="dxa"/>
          </w:tcPr>
          <w:p w:rsidR="00991DF9" w:rsidRDefault="00735249" w:rsidP="00F41563">
            <w:r>
              <w:object w:dxaOrig="7344" w:dyaOrig="4680">
                <v:shape id="_x0000_i1566" type="#_x0000_t75" style="width:207.6pt;height:132pt" o:ole="">
                  <v:imagedata r:id="rId28" o:title=""/>
                </v:shape>
                <o:OLEObject Type="Embed" ProgID="PBrush" ShapeID="_x0000_i1566" DrawAspect="Content" ObjectID="_1621689930" r:id="rId29"/>
              </w:object>
            </w:r>
          </w:p>
        </w:tc>
        <w:tc>
          <w:tcPr>
            <w:tcW w:w="4404" w:type="dxa"/>
          </w:tcPr>
          <w:p w:rsidR="00991DF9" w:rsidRDefault="009F1B00" w:rsidP="00F41563">
            <w:r>
              <w:object w:dxaOrig="7620" w:dyaOrig="4620">
                <v:shape id="_x0000_i1567" type="#_x0000_t75" style="width:213.6pt;height:129.6pt" o:ole="">
                  <v:imagedata r:id="rId30" o:title=""/>
                </v:shape>
                <o:OLEObject Type="Embed" ProgID="PBrush" ShapeID="_x0000_i1567" DrawAspect="Content" ObjectID="_1621689931" r:id="rId31"/>
              </w:object>
            </w:r>
          </w:p>
        </w:tc>
      </w:tr>
      <w:tr w:rsidR="00C54AC5" w:rsidTr="00605B0C">
        <w:tc>
          <w:tcPr>
            <w:tcW w:w="4316" w:type="dxa"/>
          </w:tcPr>
          <w:p w:rsidR="00991DF9" w:rsidRDefault="00DE4658" w:rsidP="00F41563">
            <w:r>
              <w:object w:dxaOrig="7440" w:dyaOrig="4728">
                <v:shape id="_x0000_i1569" type="#_x0000_t75" style="width:207pt;height:131.4pt" o:ole="">
                  <v:imagedata r:id="rId32" o:title=""/>
                </v:shape>
                <o:OLEObject Type="Embed" ProgID="PBrush" ShapeID="_x0000_i1569" DrawAspect="Content" ObjectID="_1621689932" r:id="rId33"/>
              </w:object>
            </w:r>
          </w:p>
        </w:tc>
        <w:tc>
          <w:tcPr>
            <w:tcW w:w="4404" w:type="dxa"/>
          </w:tcPr>
          <w:p w:rsidR="00991DF9" w:rsidRDefault="009F1B00" w:rsidP="00F41563">
            <w:r>
              <w:object w:dxaOrig="7716" w:dyaOrig="4572">
                <v:shape id="_x0000_i1568" type="#_x0000_t75" style="width:212.4pt;height:126pt" o:ole="">
                  <v:imagedata r:id="rId34" o:title=""/>
                </v:shape>
                <o:OLEObject Type="Embed" ProgID="PBrush" ShapeID="_x0000_i1568" DrawAspect="Content" ObjectID="_1621689933" r:id="rId35"/>
              </w:object>
            </w:r>
          </w:p>
        </w:tc>
      </w:tr>
      <w:tr w:rsidR="00C54AC5" w:rsidTr="00605B0C">
        <w:tc>
          <w:tcPr>
            <w:tcW w:w="4316" w:type="dxa"/>
          </w:tcPr>
          <w:p w:rsidR="00991DF9" w:rsidRDefault="00DE4658" w:rsidP="00F41563">
            <w:r>
              <w:object w:dxaOrig="7500" w:dyaOrig="4680">
                <v:shape id="_x0000_i1565" type="#_x0000_t75" style="width:202.8pt;height:126.6pt" o:ole="">
                  <v:imagedata r:id="rId36" o:title=""/>
                </v:shape>
                <o:OLEObject Type="Embed" ProgID="PBrush" ShapeID="_x0000_i1565" DrawAspect="Content" ObjectID="_1621689934" r:id="rId37"/>
              </w:object>
            </w:r>
          </w:p>
        </w:tc>
        <w:tc>
          <w:tcPr>
            <w:tcW w:w="4404" w:type="dxa"/>
          </w:tcPr>
          <w:p w:rsidR="00991DF9" w:rsidRDefault="009F1B00" w:rsidP="00F41563">
            <w:r>
              <w:object w:dxaOrig="7740" w:dyaOrig="4512">
                <v:shape id="_x0000_i1564" type="#_x0000_t75" style="width:213pt;height:124.2pt" o:ole="">
                  <v:imagedata r:id="rId38" o:title=""/>
                </v:shape>
                <o:OLEObject Type="Embed" ProgID="PBrush" ShapeID="_x0000_i1564" DrawAspect="Content" ObjectID="_1621689935" r:id="rId39"/>
              </w:object>
            </w:r>
          </w:p>
        </w:tc>
      </w:tr>
      <w:tr w:rsidR="00C54AC5" w:rsidTr="00605B0C">
        <w:tc>
          <w:tcPr>
            <w:tcW w:w="4316" w:type="dxa"/>
          </w:tcPr>
          <w:p w:rsidR="00991DF9" w:rsidRDefault="00DE4658" w:rsidP="00F41563">
            <w:r>
              <w:object w:dxaOrig="7500" w:dyaOrig="4644">
                <v:shape id="_x0000_i1571" type="#_x0000_t75" style="width:208.2pt;height:128.4pt" o:ole="">
                  <v:imagedata r:id="rId40" o:title=""/>
                </v:shape>
                <o:OLEObject Type="Embed" ProgID="PBrush" ShapeID="_x0000_i1571" DrawAspect="Content" ObjectID="_1621689936" r:id="rId41"/>
              </w:object>
            </w:r>
          </w:p>
        </w:tc>
        <w:tc>
          <w:tcPr>
            <w:tcW w:w="4404" w:type="dxa"/>
          </w:tcPr>
          <w:p w:rsidR="00991DF9" w:rsidRDefault="00C54AC5" w:rsidP="00F41563">
            <w:r>
              <w:object w:dxaOrig="7836" w:dyaOrig="4440">
                <v:shape id="_x0000_i1570" type="#_x0000_t75" style="width:213.6pt;height:121.2pt" o:ole="">
                  <v:imagedata r:id="rId42" o:title=""/>
                </v:shape>
                <o:OLEObject Type="Embed" ProgID="PBrush" ShapeID="_x0000_i1570" DrawAspect="Content" ObjectID="_1621689937" r:id="rId43"/>
              </w:object>
            </w:r>
          </w:p>
        </w:tc>
      </w:tr>
      <w:tr w:rsidR="00C54AC5" w:rsidTr="00605B0C">
        <w:tc>
          <w:tcPr>
            <w:tcW w:w="4316" w:type="dxa"/>
          </w:tcPr>
          <w:p w:rsidR="00991DF9" w:rsidRDefault="00C26F64" w:rsidP="00F41563">
            <w:r>
              <w:object w:dxaOrig="7500" w:dyaOrig="4596">
                <v:shape id="_x0000_i1573" type="#_x0000_t75" style="width:209.4pt;height:127.8pt" o:ole="">
                  <v:imagedata r:id="rId44" o:title=""/>
                </v:shape>
                <o:OLEObject Type="Embed" ProgID="PBrush" ShapeID="_x0000_i1573" DrawAspect="Content" ObjectID="_1621689938" r:id="rId45"/>
              </w:object>
            </w:r>
          </w:p>
        </w:tc>
        <w:tc>
          <w:tcPr>
            <w:tcW w:w="4404" w:type="dxa"/>
          </w:tcPr>
          <w:p w:rsidR="00991DF9" w:rsidRDefault="00C54AC5" w:rsidP="00F41563">
            <w:r>
              <w:object w:dxaOrig="7812" w:dyaOrig="4452">
                <v:shape id="_x0000_i1572" type="#_x0000_t75" style="width:213pt;height:121.8pt" o:ole="">
                  <v:imagedata r:id="rId46" o:title=""/>
                </v:shape>
                <o:OLEObject Type="Embed" ProgID="PBrush" ShapeID="_x0000_i1572" DrawAspect="Content" ObjectID="_1621689939" r:id="rId47"/>
              </w:object>
            </w:r>
          </w:p>
        </w:tc>
      </w:tr>
    </w:tbl>
    <w:p w:rsidR="006A3467" w:rsidRDefault="006A3467" w:rsidP="006A3467">
      <w:pPr>
        <w:pStyle w:val="Body"/>
      </w:pPr>
    </w:p>
    <w:tbl>
      <w:tblPr>
        <w:tblStyle w:val="TableGrid"/>
        <w:tblW w:w="0" w:type="auto"/>
        <w:tblLook w:val="04A0" w:firstRow="1" w:lastRow="0" w:firstColumn="1" w:lastColumn="0" w:noHBand="0" w:noVBand="1"/>
      </w:tblPr>
      <w:tblGrid>
        <w:gridCol w:w="4363"/>
        <w:gridCol w:w="4357"/>
      </w:tblGrid>
      <w:tr w:rsidR="00806E72" w:rsidTr="00053D2D">
        <w:trPr>
          <w:trHeight w:val="455"/>
        </w:trPr>
        <w:tc>
          <w:tcPr>
            <w:tcW w:w="4363" w:type="dxa"/>
          </w:tcPr>
          <w:p w:rsidR="00806E72" w:rsidRDefault="00806E72" w:rsidP="006A3467">
            <w:r>
              <w:t>Indexes</w:t>
            </w:r>
          </w:p>
        </w:tc>
        <w:tc>
          <w:tcPr>
            <w:tcW w:w="4357" w:type="dxa"/>
          </w:tcPr>
          <w:p w:rsidR="00806E72" w:rsidRDefault="00806E72" w:rsidP="006A3467">
            <w:r>
              <w:t>Annual % change</w:t>
            </w:r>
          </w:p>
        </w:tc>
      </w:tr>
      <w:tr w:rsidR="00806E72" w:rsidTr="00053D2D">
        <w:trPr>
          <w:trHeight w:val="3164"/>
        </w:trPr>
        <w:tc>
          <w:tcPr>
            <w:tcW w:w="4363" w:type="dxa"/>
          </w:tcPr>
          <w:p w:rsidR="00806E72" w:rsidRDefault="001169E5" w:rsidP="006A3467">
            <w:r>
              <w:object w:dxaOrig="9672" w:dyaOrig="6168">
                <v:shape id="_x0000_i1846" type="#_x0000_t75" style="width:211.2pt;height:135pt" o:ole="">
                  <v:imagedata r:id="rId48" o:title=""/>
                </v:shape>
                <o:OLEObject Type="Embed" ProgID="PBrush" ShapeID="_x0000_i1846" DrawAspect="Content" ObjectID="_1621689940" r:id="rId49"/>
              </w:object>
            </w:r>
          </w:p>
        </w:tc>
        <w:tc>
          <w:tcPr>
            <w:tcW w:w="4357" w:type="dxa"/>
          </w:tcPr>
          <w:p w:rsidR="00806E72" w:rsidRDefault="001169E5" w:rsidP="006A3467">
            <w:r>
              <w:object w:dxaOrig="8880" w:dyaOrig="5232">
                <v:shape id="_x0000_i1847" type="#_x0000_t75" style="width:210pt;height:124.2pt" o:ole="">
                  <v:imagedata r:id="rId50" o:title=""/>
                </v:shape>
                <o:OLEObject Type="Embed" ProgID="PBrush" ShapeID="_x0000_i1847" DrawAspect="Content" ObjectID="_1621689941" r:id="rId51"/>
              </w:object>
            </w:r>
          </w:p>
        </w:tc>
      </w:tr>
      <w:tr w:rsidR="00806E72" w:rsidTr="00053D2D">
        <w:trPr>
          <w:trHeight w:val="3176"/>
        </w:trPr>
        <w:tc>
          <w:tcPr>
            <w:tcW w:w="4363" w:type="dxa"/>
          </w:tcPr>
          <w:p w:rsidR="00806E72" w:rsidRDefault="006719E1" w:rsidP="006A3467">
            <w:r>
              <w:object w:dxaOrig="9708" w:dyaOrig="6132">
                <v:shape id="_x0000_i1845" type="#_x0000_t75" style="width:214.8pt;height:135.6pt" o:ole="">
                  <v:imagedata r:id="rId52" o:title=""/>
                </v:shape>
                <o:OLEObject Type="Embed" ProgID="PBrush" ShapeID="_x0000_i1845" DrawAspect="Content" ObjectID="_1621689942" r:id="rId53"/>
              </w:object>
            </w:r>
          </w:p>
        </w:tc>
        <w:tc>
          <w:tcPr>
            <w:tcW w:w="4357" w:type="dxa"/>
          </w:tcPr>
          <w:p w:rsidR="00806E72" w:rsidRDefault="001169E5" w:rsidP="006A3467">
            <w:r>
              <w:object w:dxaOrig="8868" w:dyaOrig="5208">
                <v:shape id="_x0000_i1848" type="#_x0000_t75" style="width:217.2pt;height:127.2pt" o:ole="">
                  <v:imagedata r:id="rId54" o:title=""/>
                </v:shape>
                <o:OLEObject Type="Embed" ProgID="PBrush" ShapeID="_x0000_i1848" DrawAspect="Content" ObjectID="_1621689943" r:id="rId55"/>
              </w:object>
            </w:r>
          </w:p>
        </w:tc>
      </w:tr>
      <w:tr w:rsidR="00806E72" w:rsidTr="00053D2D">
        <w:trPr>
          <w:trHeight w:val="2948"/>
        </w:trPr>
        <w:tc>
          <w:tcPr>
            <w:tcW w:w="4363" w:type="dxa"/>
          </w:tcPr>
          <w:p w:rsidR="00806E72" w:rsidRDefault="006719E1" w:rsidP="006A3467">
            <w:r>
              <w:object w:dxaOrig="9804" w:dyaOrig="6324">
                <v:shape id="_x0000_i1843" type="#_x0000_t75" style="width:217.8pt;height:139.8pt" o:ole="">
                  <v:imagedata r:id="rId56" o:title=""/>
                </v:shape>
                <o:OLEObject Type="Embed" ProgID="PBrush" ShapeID="_x0000_i1843" DrawAspect="Content" ObjectID="_1621689944" r:id="rId57"/>
              </w:object>
            </w:r>
          </w:p>
        </w:tc>
        <w:tc>
          <w:tcPr>
            <w:tcW w:w="4357" w:type="dxa"/>
          </w:tcPr>
          <w:p w:rsidR="00806E72" w:rsidRDefault="003B75C9" w:rsidP="006A3467">
            <w:r>
              <w:object w:dxaOrig="8868" w:dyaOrig="5208">
                <v:shape id="_x0000_i1844" type="#_x0000_t75" style="width:211.8pt;height:124.2pt" o:ole="">
                  <v:imagedata r:id="rId58" o:title=""/>
                </v:shape>
                <o:OLEObject Type="Embed" ProgID="PBrush" ShapeID="_x0000_i1844" DrawAspect="Content" ObjectID="_1621689945" r:id="rId59"/>
              </w:object>
            </w:r>
          </w:p>
        </w:tc>
      </w:tr>
    </w:tbl>
    <w:p w:rsidR="00804D4B" w:rsidRDefault="00804D4B" w:rsidP="00D3063C">
      <w:pPr>
        <w:pStyle w:val="ListBullet3"/>
        <w:numPr>
          <w:ilvl w:val="0"/>
          <w:numId w:val="0"/>
        </w:numPr>
      </w:pPr>
    </w:p>
    <w:sectPr w:rsidR="00804D4B" w:rsidSect="00D13F6E">
      <w:headerReference w:type="default" r:id="rId60"/>
      <w:footerReference w:type="default" r:id="rId61"/>
      <w:pgSz w:w="11906" w:h="16838"/>
      <w:pgMar w:top="1985" w:right="1701" w:bottom="1021" w:left="1701" w:header="709" w:footer="1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874" w:rsidRDefault="00D43874">
      <w:pPr>
        <w:spacing w:before="0" w:after="0" w:line="240" w:lineRule="auto"/>
      </w:pPr>
      <w:r>
        <w:separator/>
      </w:r>
    </w:p>
  </w:endnote>
  <w:endnote w:type="continuationSeparator" w:id="0">
    <w:p w:rsidR="00D43874" w:rsidRDefault="00D438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710"/>
      <w:gridCol w:w="3826"/>
    </w:tblGrid>
    <w:tr w:rsidR="00277BD8" w:rsidTr="003C70C6">
      <w:trPr>
        <w:trHeight w:val="413"/>
      </w:trPr>
      <w:tc>
        <w:tcPr>
          <w:tcW w:w="2367" w:type="pct"/>
        </w:tcPr>
        <w:p w:rsidR="00021262" w:rsidRDefault="00D6760E" w:rsidP="00021262">
          <w:pPr>
            <w:tabs>
              <w:tab w:val="right" w:pos="3862"/>
            </w:tabs>
            <w:suppressAutoHyphens/>
            <w:spacing w:before="0" w:after="0"/>
            <w:ind w:left="-113"/>
            <w:rPr>
              <w:rFonts w:ascii="Calibri" w:hAnsi="Calibri" w:cs="Calibri"/>
              <w:spacing w:val="5"/>
              <w:sz w:val="12"/>
              <w:szCs w:val="12"/>
            </w:rPr>
          </w:pPr>
          <w:r>
            <w:rPr>
              <w:rFonts w:ascii="Calibri" w:hAnsi="Calibri" w:cs="Calibri"/>
              <w:spacing w:val="5"/>
              <w:sz w:val="12"/>
              <w:szCs w:val="12"/>
            </w:rPr>
            <w:t>MINISTRY OF BUSINESS, INNOVATION &amp; EMPLOYMENT</w:t>
          </w:r>
        </w:p>
        <w:p w:rsidR="00021262" w:rsidRPr="00D13F6E" w:rsidRDefault="00D6760E" w:rsidP="00021262">
          <w:pPr>
            <w:tabs>
              <w:tab w:val="right" w:pos="3862"/>
            </w:tabs>
            <w:suppressAutoHyphens/>
            <w:spacing w:before="0"/>
            <w:ind w:left="-113"/>
            <w:rPr>
              <w:rFonts w:ascii="Calibri" w:hAnsi="Calibri" w:cs="Calibri"/>
              <w:spacing w:val="5"/>
              <w:sz w:val="12"/>
              <w:szCs w:val="12"/>
            </w:rPr>
          </w:pPr>
          <w:bookmarkStart w:id="1" w:name="bkmDocID"/>
          <w:bookmarkEnd w:id="1"/>
          <w:r>
            <w:rPr>
              <w:rFonts w:ascii="Calibri" w:hAnsi="Calibri" w:cs="Calibri"/>
              <w:spacing w:val="5"/>
              <w:sz w:val="12"/>
              <w:szCs w:val="12"/>
            </w:rPr>
            <w:tab/>
          </w:r>
        </w:p>
      </w:tc>
      <w:tc>
        <w:tcPr>
          <w:tcW w:w="412" w:type="pct"/>
        </w:tcPr>
        <w:p w:rsidR="00D3063C" w:rsidRPr="00D13F6E" w:rsidRDefault="00D6760E" w:rsidP="00815BAD">
          <w:pPr>
            <w:pStyle w:val="Footer"/>
            <w:tabs>
              <w:tab w:val="clear" w:pos="4513"/>
              <w:tab w:val="clear" w:pos="9026"/>
            </w:tabs>
            <w:spacing w:before="0"/>
            <w:jc w:val="center"/>
            <w:rPr>
              <w:sz w:val="18"/>
              <w:szCs w:val="18"/>
            </w:rPr>
          </w:pPr>
          <w:r w:rsidRPr="00D13F6E">
            <w:rPr>
              <w:color w:val="595959" w:themeColor="text1" w:themeTint="A6"/>
              <w:sz w:val="18"/>
              <w:szCs w:val="18"/>
            </w:rPr>
            <w:fldChar w:fldCharType="begin"/>
          </w:r>
          <w:r w:rsidRPr="00D13F6E">
            <w:rPr>
              <w:color w:val="595959" w:themeColor="text1" w:themeTint="A6"/>
              <w:sz w:val="18"/>
              <w:szCs w:val="18"/>
            </w:rPr>
            <w:instrText xml:space="preserve"> PAGE   \* MERGEFORMAT </w:instrText>
          </w:r>
          <w:r w:rsidRPr="00D13F6E">
            <w:rPr>
              <w:color w:val="595959" w:themeColor="text1" w:themeTint="A6"/>
              <w:sz w:val="18"/>
              <w:szCs w:val="18"/>
            </w:rPr>
            <w:fldChar w:fldCharType="separate"/>
          </w:r>
          <w:r w:rsidR="004773BA">
            <w:rPr>
              <w:noProof/>
              <w:color w:val="595959" w:themeColor="text1" w:themeTint="A6"/>
              <w:sz w:val="18"/>
              <w:szCs w:val="18"/>
            </w:rPr>
            <w:t>7</w:t>
          </w:r>
          <w:r w:rsidRPr="00D13F6E">
            <w:rPr>
              <w:noProof/>
              <w:color w:val="595959" w:themeColor="text1" w:themeTint="A6"/>
              <w:sz w:val="18"/>
              <w:szCs w:val="18"/>
            </w:rPr>
            <w:fldChar w:fldCharType="end"/>
          </w:r>
        </w:p>
      </w:tc>
      <w:tc>
        <w:tcPr>
          <w:tcW w:w="2221" w:type="pct"/>
        </w:tcPr>
        <w:p w:rsidR="00605B0C" w:rsidRPr="00D13F6E" w:rsidRDefault="00605B0C" w:rsidP="00605B0C">
          <w:pPr>
            <w:suppressAutoHyphens/>
            <w:ind w:right="-114"/>
            <w:jc w:val="right"/>
            <w:rPr>
              <w:rFonts w:ascii="Calibri" w:hAnsi="Calibri" w:cs="Calibri"/>
              <w:spacing w:val="5"/>
              <w:sz w:val="12"/>
              <w:szCs w:val="12"/>
            </w:rPr>
          </w:pPr>
          <w:r>
            <w:rPr>
              <w:rFonts w:ascii="Calibri" w:hAnsi="Calibri" w:cs="Calibri"/>
              <w:spacing w:val="5"/>
              <w:sz w:val="12"/>
              <w:szCs w:val="12"/>
            </w:rPr>
            <w:t>Land price indexes from improved property price indexes</w:t>
          </w:r>
        </w:p>
      </w:tc>
    </w:tr>
  </w:tbl>
  <w:p w:rsidR="00D3063C" w:rsidRPr="00D13F6E" w:rsidRDefault="00D3063C">
    <w:pPr>
      <w:pStyle w:val="Footer"/>
      <w:rPr>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874" w:rsidRDefault="00D43874">
      <w:pPr>
        <w:spacing w:before="0" w:after="0" w:line="240" w:lineRule="auto"/>
      </w:pPr>
      <w:r>
        <w:separator/>
      </w:r>
    </w:p>
  </w:footnote>
  <w:footnote w:type="continuationSeparator" w:id="0">
    <w:p w:rsidR="00D43874" w:rsidRDefault="00D43874">
      <w:pPr>
        <w:spacing w:before="0" w:after="0" w:line="240" w:lineRule="auto"/>
      </w:pPr>
      <w:r>
        <w:continuationSeparator/>
      </w:r>
    </w:p>
  </w:footnote>
  <w:footnote w:id="1">
    <w:p w:rsidR="00C95E48" w:rsidRDefault="00C95E48">
      <w:pPr>
        <w:pStyle w:val="FootnoteText"/>
      </w:pPr>
      <w:r>
        <w:rPr>
          <w:rStyle w:val="FootnoteReference"/>
        </w:rPr>
        <w:footnoteRef/>
      </w:r>
      <w:r>
        <w:t xml:space="preserve"> </w:t>
      </w:r>
      <w:r>
        <w:t>REINZ</w:t>
      </w:r>
      <w:r>
        <w:t xml:space="preserve"> (</w:t>
      </w:r>
      <w:r>
        <w:t>2017</w:t>
      </w:r>
      <w:r>
        <w:t>)</w:t>
      </w:r>
      <w:r>
        <w:t xml:space="preserve"> and Armstrong, Dunstan and Irrcher</w:t>
      </w:r>
      <w:r>
        <w:t xml:space="preserve"> (</w:t>
      </w:r>
      <w:r>
        <w:t>2017</w:t>
      </w:r>
      <w:r>
        <w:t>)</w:t>
      </w:r>
    </w:p>
  </w:footnote>
  <w:footnote w:id="2">
    <w:p w:rsidR="002525BD" w:rsidRDefault="002525BD">
      <w:pPr>
        <w:pStyle w:val="FootnoteText"/>
      </w:pPr>
      <w:r>
        <w:rPr>
          <w:rStyle w:val="FootnoteReference"/>
        </w:rPr>
        <w:footnoteRef/>
      </w:r>
      <w:r>
        <w:t xml:space="preserve"> In price measurement, a hedonic index is one where price (or log of price) is modelled against characteristics to identify and remove the price effect of the changing composition of products in terms of their price-determining characteristics.  A ‘time-dummy’ hedonic index includes time as an independent variable and the price index is derived from the parameters estimated for time.</w:t>
      </w:r>
    </w:p>
  </w:footnote>
  <w:footnote w:id="3">
    <w:p w:rsidR="00747C1D" w:rsidRDefault="00747C1D">
      <w:pPr>
        <w:pStyle w:val="FootnoteText"/>
      </w:pPr>
      <w:r>
        <w:rPr>
          <w:rStyle w:val="FootnoteReference"/>
        </w:rPr>
        <w:footnoteRef/>
      </w:r>
      <w:r>
        <w:t xml:space="preserve"> Or at the level of the dwelling, in the case of property indexes</w:t>
      </w:r>
      <w:r w:rsidR="00A54067">
        <w:t>.</w:t>
      </w:r>
    </w:p>
  </w:footnote>
  <w:footnote w:id="4">
    <w:p w:rsidR="006A71BF" w:rsidRDefault="006A71BF">
      <w:pPr>
        <w:pStyle w:val="FootnoteText"/>
      </w:pPr>
      <w:r>
        <w:rPr>
          <w:rStyle w:val="FootnoteReference"/>
        </w:rPr>
        <w:footnoteRef/>
      </w:r>
      <w:r>
        <w:t xml:space="preserve"> The index rose from a base of 1 at 1993 to 5.9 in 2018</w:t>
      </w:r>
    </w:p>
  </w:footnote>
  <w:footnote w:id="5">
    <w:p w:rsidR="006A71BF" w:rsidRDefault="006A71BF" w:rsidP="006A71BF">
      <w:pPr>
        <w:pStyle w:val="FootnoteText"/>
      </w:pPr>
      <w:r>
        <w:rPr>
          <w:rStyle w:val="FootnoteReference"/>
        </w:rPr>
        <w:footnoteRef/>
      </w:r>
      <w:r>
        <w:t xml:space="preserve"> That is</w:t>
      </w:r>
      <w:r w:rsidR="00A03761">
        <w:t>:</w:t>
      </w:r>
      <w:r>
        <w:t xml:space="preserve"> (490-330)/490 = 33%</w:t>
      </w:r>
    </w:p>
  </w:footnote>
  <w:footnote w:id="6">
    <w:p w:rsidR="006A3467" w:rsidRDefault="006A3467" w:rsidP="006A3467">
      <w:pPr>
        <w:pStyle w:val="Footnote"/>
      </w:pPr>
      <w:r>
        <w:rPr>
          <w:vertAlign w:val="superscript"/>
        </w:rPr>
        <w:footnoteRef/>
      </w:r>
      <w:r>
        <w:rPr>
          <w:rFonts w:eastAsia="Arial Unicode MS" w:cs="Arial Unicode MS"/>
        </w:rPr>
        <w:t xml:space="preserve"> </w:t>
      </w:r>
      <w:r w:rsidRPr="00A03761">
        <w:rPr>
          <w:rFonts w:asciiTheme="minorHAnsi" w:eastAsiaTheme="minorHAnsi" w:hAnsiTheme="minorHAnsi" w:cstheme="minorBidi"/>
          <w:color w:val="auto"/>
          <w:sz w:val="20"/>
          <w:szCs w:val="20"/>
          <w:bdr w:val="none" w:sz="0" w:space="0" w:color="auto"/>
          <w:lang w:eastAsia="en-US"/>
        </w:rPr>
        <w:t>See the ‘Dwelling sales price (SPAR Index) and ‘Dwelling land price (SPAR index)’ series accessed from the ‘market indicators’ tab on the NPS-UDC dashboard here:</w:t>
      </w:r>
      <w:r>
        <w:rPr>
          <w:rFonts w:eastAsia="Arial Unicode MS" w:cs="Arial Unicode MS"/>
          <w:lang w:val="en-US"/>
        </w:rPr>
        <w:t xml:space="preserve"> </w:t>
      </w:r>
      <w:hyperlink r:id="rId1" w:history="1">
        <w:r>
          <w:rPr>
            <w:rStyle w:val="Hyperlink0"/>
            <w:rFonts w:eastAsia="Arial Unicode MS" w:cs="Arial Unicode MS"/>
            <w:lang w:val="en-US"/>
          </w:rPr>
          <w:t>https://mbienz.shinyapps.io/urban-development-capacity/</w:t>
        </w:r>
      </w:hyperlink>
      <w:r>
        <w:rPr>
          <w:rFonts w:eastAsia="Arial Unicode MS" w:cs="Arial Unicode MS"/>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0B" w:rsidRDefault="00D6760E" w:rsidP="00835B49">
    <w:pPr>
      <w:pStyle w:val="Header"/>
    </w:pPr>
    <w:r>
      <w:rPr>
        <w:noProof/>
        <w:lang w:eastAsia="en-NZ"/>
      </w:rPr>
      <w:drawing>
        <wp:anchor distT="0" distB="0" distL="114300" distR="114300" simplePos="0" relativeHeight="251658240" behindDoc="1" locked="0" layoutInCell="1" allowOverlap="1" wp14:anchorId="48BB6781" wp14:editId="587E9F52">
          <wp:simplePos x="0" y="0"/>
          <wp:positionH relativeFrom="page">
            <wp:align>left</wp:align>
          </wp:positionH>
          <wp:positionV relativeFrom="paragraph">
            <wp:posOffset>-450215</wp:posOffset>
          </wp:positionV>
          <wp:extent cx="7543800" cy="10676948"/>
          <wp:effectExtent l="0" t="0" r="0" b="0"/>
          <wp:wrapNone/>
          <wp:docPr id="67" name="Picture 67" descr="C:\Users\shiree\downloads\MBIE Templates New\MBIE Templates New\report 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11109" name="Picture 6" descr="C:\Users\shiree\downloads\MBIE Templates New\MBIE Templates New\report clean.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606" cy="1068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softHyphen/>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63C" w:rsidRDefault="00D3063C" w:rsidP="00815BAD">
    <w:pPr>
      <w:pStyle w:val="Classification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5E8C85A"/>
    <w:lvl w:ilvl="0">
      <w:start w:val="1"/>
      <w:numFmt w:val="decimal"/>
      <w:lvlText w:val="%1."/>
      <w:lvlJc w:val="left"/>
      <w:pPr>
        <w:tabs>
          <w:tab w:val="num" w:pos="926"/>
        </w:tabs>
        <w:ind w:left="926" w:hanging="360"/>
      </w:pPr>
    </w:lvl>
  </w:abstractNum>
  <w:abstractNum w:abstractNumId="1">
    <w:nsid w:val="FFFFFF7F"/>
    <w:multiLevelType w:val="singleLevel"/>
    <w:tmpl w:val="B516B864"/>
    <w:lvl w:ilvl="0">
      <w:start w:val="1"/>
      <w:numFmt w:val="decimal"/>
      <w:lvlText w:val="%1."/>
      <w:lvlJc w:val="left"/>
      <w:pPr>
        <w:tabs>
          <w:tab w:val="num" w:pos="643"/>
        </w:tabs>
        <w:ind w:left="643" w:hanging="360"/>
      </w:pPr>
    </w:lvl>
  </w:abstractNum>
  <w:abstractNum w:abstractNumId="2">
    <w:nsid w:val="FFFFFF82"/>
    <w:multiLevelType w:val="singleLevel"/>
    <w:tmpl w:val="E1D07688"/>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54E0756C"/>
    <w:lvl w:ilvl="0">
      <w:start w:val="1"/>
      <w:numFmt w:val="bullet"/>
      <w:lvlText w:val=""/>
      <w:lvlJc w:val="left"/>
      <w:pPr>
        <w:tabs>
          <w:tab w:val="num" w:pos="720"/>
        </w:tabs>
        <w:ind w:left="720" w:hanging="360"/>
      </w:pPr>
      <w:rPr>
        <w:rFonts w:ascii="Symbol" w:hAnsi="Symbol" w:hint="default"/>
      </w:rPr>
    </w:lvl>
  </w:abstractNum>
  <w:abstractNum w:abstractNumId="4">
    <w:nsid w:val="FFFFFF88"/>
    <w:multiLevelType w:val="singleLevel"/>
    <w:tmpl w:val="98346908"/>
    <w:lvl w:ilvl="0">
      <w:start w:val="1"/>
      <w:numFmt w:val="decimal"/>
      <w:lvlText w:val="%1."/>
      <w:lvlJc w:val="left"/>
      <w:pPr>
        <w:tabs>
          <w:tab w:val="num" w:pos="360"/>
        </w:tabs>
        <w:ind w:left="360" w:hanging="360"/>
      </w:pPr>
    </w:lvl>
  </w:abstractNum>
  <w:abstractNum w:abstractNumId="5">
    <w:nsid w:val="FFFFFF89"/>
    <w:multiLevelType w:val="singleLevel"/>
    <w:tmpl w:val="D11EF1C8"/>
    <w:lvl w:ilvl="0">
      <w:start w:val="1"/>
      <w:numFmt w:val="bullet"/>
      <w:lvlText w:val=""/>
      <w:lvlJc w:val="left"/>
      <w:pPr>
        <w:tabs>
          <w:tab w:val="num" w:pos="360"/>
        </w:tabs>
        <w:ind w:left="360" w:hanging="360"/>
      </w:pPr>
      <w:rPr>
        <w:rFonts w:ascii="Symbol" w:hAnsi="Symbol" w:hint="default"/>
      </w:rPr>
    </w:lvl>
  </w:abstractNum>
  <w:abstractNum w:abstractNumId="6">
    <w:nsid w:val="17EE3610"/>
    <w:multiLevelType w:val="hybridMultilevel"/>
    <w:tmpl w:val="61324B64"/>
    <w:lvl w:ilvl="0" w:tplc="6DE0B770">
      <w:numFmt w:val="bullet"/>
      <w:pStyle w:val="ListBullet"/>
      <w:lvlText w:val=""/>
      <w:lvlJc w:val="left"/>
      <w:pPr>
        <w:ind w:left="1070" w:hanging="360"/>
      </w:pPr>
      <w:rPr>
        <w:rFonts w:ascii="Symbol" w:eastAsiaTheme="minorHAnsi" w:hAnsi="Symbol" w:cstheme="minorBidi" w:hint="default"/>
      </w:rPr>
    </w:lvl>
    <w:lvl w:ilvl="1" w:tplc="D7849B82">
      <w:start w:val="1"/>
      <w:numFmt w:val="bullet"/>
      <w:pStyle w:val="ListBullet2"/>
      <w:lvlText w:val="○"/>
      <w:lvlJc w:val="left"/>
      <w:pPr>
        <w:ind w:left="1440" w:hanging="360"/>
      </w:pPr>
      <w:rPr>
        <w:rFonts w:ascii="Courier New" w:hAnsi="Courier New" w:hint="default"/>
      </w:rPr>
    </w:lvl>
    <w:lvl w:ilvl="2" w:tplc="3CBC5B3C">
      <w:start w:val="1"/>
      <w:numFmt w:val="bullet"/>
      <w:pStyle w:val="ListBullet3"/>
      <w:lvlText w:val="○"/>
      <w:lvlJc w:val="left"/>
      <w:pPr>
        <w:ind w:left="2160" w:hanging="360"/>
      </w:pPr>
      <w:rPr>
        <w:rFonts w:ascii="Courier New" w:hAnsi="Courier New" w:hint="default"/>
      </w:rPr>
    </w:lvl>
    <w:lvl w:ilvl="3" w:tplc="793EC480" w:tentative="1">
      <w:start w:val="1"/>
      <w:numFmt w:val="bullet"/>
      <w:lvlText w:val=""/>
      <w:lvlJc w:val="left"/>
      <w:pPr>
        <w:ind w:left="2880" w:hanging="360"/>
      </w:pPr>
      <w:rPr>
        <w:rFonts w:ascii="Symbol" w:hAnsi="Symbol" w:hint="default"/>
      </w:rPr>
    </w:lvl>
    <w:lvl w:ilvl="4" w:tplc="EA4E353E" w:tentative="1">
      <w:start w:val="1"/>
      <w:numFmt w:val="bullet"/>
      <w:lvlText w:val="o"/>
      <w:lvlJc w:val="left"/>
      <w:pPr>
        <w:ind w:left="3600" w:hanging="360"/>
      </w:pPr>
      <w:rPr>
        <w:rFonts w:ascii="Courier New" w:hAnsi="Courier New" w:cs="Courier New" w:hint="default"/>
      </w:rPr>
    </w:lvl>
    <w:lvl w:ilvl="5" w:tplc="E24E5FC6" w:tentative="1">
      <w:start w:val="1"/>
      <w:numFmt w:val="bullet"/>
      <w:lvlText w:val=""/>
      <w:lvlJc w:val="left"/>
      <w:pPr>
        <w:ind w:left="4320" w:hanging="360"/>
      </w:pPr>
      <w:rPr>
        <w:rFonts w:ascii="Wingdings" w:hAnsi="Wingdings" w:hint="default"/>
      </w:rPr>
    </w:lvl>
    <w:lvl w:ilvl="6" w:tplc="822A08F8" w:tentative="1">
      <w:start w:val="1"/>
      <w:numFmt w:val="bullet"/>
      <w:lvlText w:val=""/>
      <w:lvlJc w:val="left"/>
      <w:pPr>
        <w:ind w:left="5040" w:hanging="360"/>
      </w:pPr>
      <w:rPr>
        <w:rFonts w:ascii="Symbol" w:hAnsi="Symbol" w:hint="default"/>
      </w:rPr>
    </w:lvl>
    <w:lvl w:ilvl="7" w:tplc="5234EF72" w:tentative="1">
      <w:start w:val="1"/>
      <w:numFmt w:val="bullet"/>
      <w:lvlText w:val="o"/>
      <w:lvlJc w:val="left"/>
      <w:pPr>
        <w:ind w:left="5760" w:hanging="360"/>
      </w:pPr>
      <w:rPr>
        <w:rFonts w:ascii="Courier New" w:hAnsi="Courier New" w:cs="Courier New" w:hint="default"/>
      </w:rPr>
    </w:lvl>
    <w:lvl w:ilvl="8" w:tplc="6E8202F2" w:tentative="1">
      <w:start w:val="1"/>
      <w:numFmt w:val="bullet"/>
      <w:lvlText w:val=""/>
      <w:lvlJc w:val="left"/>
      <w:pPr>
        <w:ind w:left="6480" w:hanging="360"/>
      </w:pPr>
      <w:rPr>
        <w:rFonts w:ascii="Wingdings" w:hAnsi="Wingdings" w:hint="default"/>
      </w:rPr>
    </w:lvl>
  </w:abstractNum>
  <w:abstractNum w:abstractNumId="7">
    <w:nsid w:val="30AD1470"/>
    <w:multiLevelType w:val="multilevel"/>
    <w:tmpl w:val="029094CE"/>
    <w:lvl w:ilvl="0">
      <w:start w:val="1"/>
      <w:numFmt w:val="decimal"/>
      <w:pStyle w:val="NumberedHeading1"/>
      <w:lvlText w:val="%1."/>
      <w:lvlJc w:val="left"/>
      <w:pPr>
        <w:ind w:left="425" w:hanging="425"/>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DB16DA5"/>
    <w:multiLevelType w:val="multilevel"/>
    <w:tmpl w:val="B6321526"/>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559"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F6011A5"/>
    <w:multiLevelType w:val="hybridMultilevel"/>
    <w:tmpl w:val="3B7A00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4069483F"/>
    <w:multiLevelType w:val="multilevel"/>
    <w:tmpl w:val="ED58F982"/>
    <w:lvl w:ilvl="0">
      <w:start w:val="1"/>
      <w:numFmt w:val="decimal"/>
      <w:pStyle w:val="NumberedParagraphLevel1"/>
      <w:lvlText w:val="%1."/>
      <w:lvlJc w:val="left"/>
      <w:pPr>
        <w:ind w:left="709" w:hanging="709"/>
      </w:pPr>
      <w:rPr>
        <w:rFonts w:hint="default"/>
      </w:rPr>
    </w:lvl>
    <w:lvl w:ilvl="1">
      <w:start w:val="1"/>
      <w:numFmt w:val="decimal"/>
      <w:pStyle w:val="NumberedParagraphLevel2"/>
      <w:lvlText w:val="%1.%2."/>
      <w:lvlJc w:val="left"/>
      <w:pPr>
        <w:ind w:left="709" w:hanging="709"/>
      </w:pPr>
      <w:rPr>
        <w:rFonts w:hint="default"/>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num w:numId="1">
    <w:abstractNumId w:val="6"/>
  </w:num>
  <w:num w:numId="2">
    <w:abstractNumId w:val="5"/>
  </w:num>
  <w:num w:numId="3">
    <w:abstractNumId w:val="3"/>
  </w:num>
  <w:num w:numId="4">
    <w:abstractNumId w:val="2"/>
  </w:num>
  <w:num w:numId="5">
    <w:abstractNumId w:val="4"/>
  </w:num>
  <w:num w:numId="6">
    <w:abstractNumId w:val="8"/>
  </w:num>
  <w:num w:numId="7">
    <w:abstractNumId w:val="1"/>
  </w:num>
  <w:num w:numId="8">
    <w:abstractNumId w:val="8"/>
  </w:num>
  <w:num w:numId="9">
    <w:abstractNumId w:val="0"/>
  </w:num>
  <w:num w:numId="10">
    <w:abstractNumId w:val="8"/>
  </w:num>
  <w:num w:numId="11">
    <w:abstractNumId w:val="7"/>
  </w:num>
  <w:num w:numId="12">
    <w:abstractNumId w:val="7"/>
  </w:num>
  <w:num w:numId="13">
    <w:abstractNumId w:val="7"/>
  </w:num>
  <w:num w:numId="14">
    <w:abstractNumId w:val="10"/>
  </w:num>
  <w:num w:numId="15">
    <w:abstractNumId w:val="10"/>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874"/>
    <w:rsid w:val="00021262"/>
    <w:rsid w:val="00051D79"/>
    <w:rsid w:val="00052540"/>
    <w:rsid w:val="00053D2D"/>
    <w:rsid w:val="00071967"/>
    <w:rsid w:val="000A4A77"/>
    <w:rsid w:val="000F7237"/>
    <w:rsid w:val="001169E5"/>
    <w:rsid w:val="00160762"/>
    <w:rsid w:val="00171D9A"/>
    <w:rsid w:val="001A74DB"/>
    <w:rsid w:val="001C134E"/>
    <w:rsid w:val="002162CD"/>
    <w:rsid w:val="002525BD"/>
    <w:rsid w:val="002675D6"/>
    <w:rsid w:val="00277BD8"/>
    <w:rsid w:val="002919CB"/>
    <w:rsid w:val="00292DE2"/>
    <w:rsid w:val="002F5FEB"/>
    <w:rsid w:val="00390102"/>
    <w:rsid w:val="00395EA0"/>
    <w:rsid w:val="003B75C9"/>
    <w:rsid w:val="003C70C6"/>
    <w:rsid w:val="003D30D6"/>
    <w:rsid w:val="00412CE6"/>
    <w:rsid w:val="00440F96"/>
    <w:rsid w:val="0045434F"/>
    <w:rsid w:val="004747A8"/>
    <w:rsid w:val="004773BA"/>
    <w:rsid w:val="005D76FF"/>
    <w:rsid w:val="00605B0C"/>
    <w:rsid w:val="0062588B"/>
    <w:rsid w:val="006719E1"/>
    <w:rsid w:val="00673810"/>
    <w:rsid w:val="006A3467"/>
    <w:rsid w:val="006A4C71"/>
    <w:rsid w:val="006A71BF"/>
    <w:rsid w:val="00735249"/>
    <w:rsid w:val="00747C1D"/>
    <w:rsid w:val="007823A8"/>
    <w:rsid w:val="00796541"/>
    <w:rsid w:val="007B00E2"/>
    <w:rsid w:val="007C7EFD"/>
    <w:rsid w:val="007D660B"/>
    <w:rsid w:val="007E67F2"/>
    <w:rsid w:val="00804D4B"/>
    <w:rsid w:val="00806E72"/>
    <w:rsid w:val="00815BAD"/>
    <w:rsid w:val="00823B30"/>
    <w:rsid w:val="00835B49"/>
    <w:rsid w:val="008601B3"/>
    <w:rsid w:val="00884A54"/>
    <w:rsid w:val="00896A2C"/>
    <w:rsid w:val="008A6312"/>
    <w:rsid w:val="008B0E2E"/>
    <w:rsid w:val="00951885"/>
    <w:rsid w:val="00964A69"/>
    <w:rsid w:val="00991DF9"/>
    <w:rsid w:val="009A5967"/>
    <w:rsid w:val="009F1B00"/>
    <w:rsid w:val="00A03761"/>
    <w:rsid w:val="00A42407"/>
    <w:rsid w:val="00A441FD"/>
    <w:rsid w:val="00A54067"/>
    <w:rsid w:val="00A6080E"/>
    <w:rsid w:val="00AA7409"/>
    <w:rsid w:val="00AB343B"/>
    <w:rsid w:val="00AD64AC"/>
    <w:rsid w:val="00AF2383"/>
    <w:rsid w:val="00AF7ABE"/>
    <w:rsid w:val="00B31FC5"/>
    <w:rsid w:val="00B63172"/>
    <w:rsid w:val="00BC0514"/>
    <w:rsid w:val="00C17645"/>
    <w:rsid w:val="00C26F64"/>
    <w:rsid w:val="00C45213"/>
    <w:rsid w:val="00C54AC5"/>
    <w:rsid w:val="00C57B68"/>
    <w:rsid w:val="00C95E48"/>
    <w:rsid w:val="00CD51DD"/>
    <w:rsid w:val="00D13F6E"/>
    <w:rsid w:val="00D15FF5"/>
    <w:rsid w:val="00D3063C"/>
    <w:rsid w:val="00D35620"/>
    <w:rsid w:val="00D43874"/>
    <w:rsid w:val="00D45AFD"/>
    <w:rsid w:val="00D9016C"/>
    <w:rsid w:val="00DB2D43"/>
    <w:rsid w:val="00DB6BBA"/>
    <w:rsid w:val="00DD6C4F"/>
    <w:rsid w:val="00DD6D44"/>
    <w:rsid w:val="00DE4658"/>
    <w:rsid w:val="00E03F72"/>
    <w:rsid w:val="00E04EC0"/>
    <w:rsid w:val="00E60EA1"/>
    <w:rsid w:val="00EC01DC"/>
    <w:rsid w:val="00ED01BD"/>
    <w:rsid w:val="00EE446A"/>
    <w:rsid w:val="00F24BAB"/>
    <w:rsid w:val="00F26B77"/>
    <w:rsid w:val="00F30B38"/>
    <w:rsid w:val="00F3771D"/>
    <w:rsid w:val="00F41563"/>
    <w:rsid w:val="00F608FD"/>
    <w:rsid w:val="00F61218"/>
    <w:rsid w:val="00F66D96"/>
    <w:rsid w:val="00F86BC5"/>
    <w:rsid w:val="00F870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List Bullet" w:semiHidden="0"/>
    <w:lsdException w:name="List Number" w:unhideWhenUsed="0"/>
    <w:lsdException w:name="List 4" w:unhideWhenUsed="0"/>
    <w:lsdException w:name="List 5" w:unhideWhenUsed="0"/>
    <w:lsdException w:name="List Bullet 2" w:semiHidden="0"/>
    <w:lsdException w:name="List Bullet 3" w:semiHidden="0"/>
    <w:lsdException w:name="Title" w:semiHidden="0" w:uiPriority="10" w:unhideWhenUsed="0" w:qFormat="1"/>
    <w:lsdException w:name="Default Paragraph Font" w:uiPriority="1"/>
    <w:lsdException w:name="Body Text" w:uiPriority="74"/>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qFormat/>
    <w:rsid w:val="009A5967"/>
    <w:pPr>
      <w:spacing w:before="40" w:after="160" w:line="260" w:lineRule="atLeast"/>
    </w:pPr>
  </w:style>
  <w:style w:type="paragraph" w:styleId="Heading1">
    <w:name w:val="heading 1"/>
    <w:basedOn w:val="Normal"/>
    <w:next w:val="Normal"/>
    <w:link w:val="Heading1Char"/>
    <w:qFormat/>
    <w:rsid w:val="00796541"/>
    <w:pPr>
      <w:spacing w:before="240" w:after="240" w:line="240" w:lineRule="auto"/>
      <w:outlineLvl w:val="0"/>
    </w:pPr>
    <w:rPr>
      <w:b/>
      <w:sz w:val="36"/>
      <w:szCs w:val="30"/>
    </w:rPr>
  </w:style>
  <w:style w:type="paragraph" w:styleId="Heading2">
    <w:name w:val="heading 2"/>
    <w:basedOn w:val="Normal"/>
    <w:next w:val="Normal"/>
    <w:link w:val="Heading2Char"/>
    <w:unhideWhenUsed/>
    <w:qFormat/>
    <w:rsid w:val="00171D9A"/>
    <w:pPr>
      <w:spacing w:before="120" w:after="113" w:line="340" w:lineRule="atLeast"/>
      <w:outlineLvl w:val="1"/>
    </w:pPr>
    <w:rPr>
      <w:b/>
      <w:sz w:val="30"/>
      <w:szCs w:val="30"/>
    </w:rPr>
  </w:style>
  <w:style w:type="paragraph" w:styleId="Heading3">
    <w:name w:val="heading 3"/>
    <w:basedOn w:val="Normal"/>
    <w:next w:val="Normal"/>
    <w:link w:val="Heading3Char"/>
    <w:unhideWhenUsed/>
    <w:qFormat/>
    <w:rsid w:val="00171D9A"/>
    <w:pPr>
      <w:spacing w:before="113" w:after="0" w:line="280" w:lineRule="atLeast"/>
      <w:outlineLvl w:val="2"/>
    </w:pPr>
    <w:rPr>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35B49"/>
    <w:pPr>
      <w:spacing w:after="0" w:line="240" w:lineRule="auto"/>
    </w:pPr>
  </w:style>
  <w:style w:type="character" w:customStyle="1" w:styleId="HeaderChar">
    <w:name w:val="Header Char"/>
    <w:basedOn w:val="DefaultParagraphFont"/>
    <w:link w:val="Header"/>
    <w:uiPriority w:val="99"/>
    <w:semiHidden/>
    <w:rsid w:val="002919CB"/>
  </w:style>
  <w:style w:type="paragraph" w:styleId="Footer">
    <w:name w:val="footer"/>
    <w:basedOn w:val="Normal"/>
    <w:link w:val="FooterChar"/>
    <w:uiPriority w:val="99"/>
    <w:semiHidden/>
    <w:rsid w:val="00B6317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6541"/>
  </w:style>
  <w:style w:type="paragraph" w:styleId="BalloonText">
    <w:name w:val="Balloon Text"/>
    <w:basedOn w:val="Normal"/>
    <w:link w:val="BalloonTextChar"/>
    <w:uiPriority w:val="99"/>
    <w:semiHidden/>
    <w:rsid w:val="00B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basedOn w:val="DefaultParagraphFont"/>
    <w:link w:val="Heading1"/>
    <w:rsid w:val="009A5967"/>
    <w:rPr>
      <w:b/>
      <w:sz w:val="36"/>
      <w:szCs w:val="30"/>
    </w:rPr>
  </w:style>
  <w:style w:type="paragraph" w:styleId="ListBullet">
    <w:name w:val="List Bullet"/>
    <w:basedOn w:val="Normal"/>
    <w:uiPriority w:val="13"/>
    <w:rsid w:val="00F24BAB"/>
    <w:pPr>
      <w:numPr>
        <w:numId w:val="1"/>
      </w:numPr>
      <w:spacing w:after="40"/>
      <w:ind w:left="568" w:hanging="284"/>
      <w:contextualSpacing/>
    </w:pPr>
  </w:style>
  <w:style w:type="paragraph" w:styleId="ListBullet2">
    <w:name w:val="List Bullet 2"/>
    <w:basedOn w:val="ListBullet"/>
    <w:uiPriority w:val="13"/>
    <w:rsid w:val="00F24BAB"/>
    <w:pPr>
      <w:numPr>
        <w:ilvl w:val="1"/>
      </w:numPr>
      <w:ind w:left="1134"/>
    </w:pPr>
  </w:style>
  <w:style w:type="paragraph" w:styleId="ListBullet3">
    <w:name w:val="List Bullet 3"/>
    <w:basedOn w:val="ListBullet"/>
    <w:uiPriority w:val="13"/>
    <w:rsid w:val="00F24BAB"/>
    <w:pPr>
      <w:numPr>
        <w:ilvl w:val="2"/>
      </w:numPr>
      <w:ind w:left="1418"/>
    </w:pPr>
  </w:style>
  <w:style w:type="character" w:customStyle="1" w:styleId="Heading2Char">
    <w:name w:val="Heading 2 Char"/>
    <w:basedOn w:val="DefaultParagraphFont"/>
    <w:link w:val="Heading2"/>
    <w:rsid w:val="009A5967"/>
    <w:rPr>
      <w:b/>
      <w:sz w:val="30"/>
      <w:szCs w:val="30"/>
    </w:rPr>
  </w:style>
  <w:style w:type="character" w:customStyle="1" w:styleId="Heading3Char">
    <w:name w:val="Heading 3 Char"/>
    <w:basedOn w:val="DefaultParagraphFont"/>
    <w:link w:val="Heading3"/>
    <w:rsid w:val="009A5967"/>
    <w:rPr>
      <w:b/>
      <w:sz w:val="24"/>
      <w:szCs w:val="24"/>
    </w:rPr>
  </w:style>
  <w:style w:type="table" w:styleId="TableGrid">
    <w:name w:val="Table Grid"/>
    <w:basedOn w:val="TableNormal"/>
    <w:uiPriority w:val="5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74"/>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74"/>
    <w:rsid w:val="004747A8"/>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before="0"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uiPriority w:val="12"/>
    <w:rsid w:val="005D76FF"/>
    <w:pPr>
      <w:pBdr>
        <w:bottom w:val="single" w:sz="8" w:space="24" w:color="595959" w:themeColor="text1" w:themeTint="A6"/>
      </w:pBdr>
      <w:autoSpaceDE w:val="0"/>
      <w:autoSpaceDN w:val="0"/>
      <w:adjustRightInd w:val="0"/>
      <w:spacing w:before="0"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74"/>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74"/>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uiPriority w:val="99"/>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before="0"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uiPriority w:val="99"/>
    <w:qFormat/>
    <w:rsid w:val="00951885"/>
  </w:style>
  <w:style w:type="paragraph" w:styleId="ListNumber">
    <w:name w:val="List Number"/>
    <w:basedOn w:val="Normal"/>
    <w:uiPriority w:val="13"/>
    <w:rsid w:val="00F870D6"/>
    <w:pPr>
      <w:numPr>
        <w:numId w:val="10"/>
      </w:numPr>
      <w:spacing w:after="40" w:line="240" w:lineRule="auto"/>
      <w:contextualSpacing/>
    </w:pPr>
  </w:style>
  <w:style w:type="paragraph" w:styleId="ListNumber2">
    <w:name w:val="List Number 2"/>
    <w:basedOn w:val="Normal"/>
    <w:uiPriority w:val="13"/>
    <w:rsid w:val="00F870D6"/>
    <w:pPr>
      <w:numPr>
        <w:ilvl w:val="1"/>
        <w:numId w:val="10"/>
      </w:numPr>
      <w:spacing w:after="40" w:line="240" w:lineRule="auto"/>
      <w:contextualSpacing/>
    </w:pPr>
  </w:style>
  <w:style w:type="paragraph" w:styleId="ListNumber3">
    <w:name w:val="List Number 3"/>
    <w:basedOn w:val="Normal"/>
    <w:uiPriority w:val="13"/>
    <w:rsid w:val="00F870D6"/>
    <w:pPr>
      <w:numPr>
        <w:ilvl w:val="2"/>
        <w:numId w:val="10"/>
      </w:numPr>
      <w:spacing w:after="40" w:line="240" w:lineRule="auto"/>
      <w:contextualSpacing/>
    </w:pPr>
  </w:style>
  <w:style w:type="paragraph" w:customStyle="1" w:styleId="NumberedHeading1">
    <w:name w:val="Numbered Heading 1"/>
    <w:uiPriority w:val="1"/>
    <w:qFormat/>
    <w:rsid w:val="009A5967"/>
    <w:pPr>
      <w:numPr>
        <w:numId w:val="13"/>
      </w:numPr>
    </w:pPr>
    <w:rPr>
      <w:b/>
      <w:noProof/>
      <w:sz w:val="36"/>
      <w:szCs w:val="30"/>
    </w:rPr>
  </w:style>
  <w:style w:type="paragraph" w:customStyle="1" w:styleId="NumberedHeading2">
    <w:name w:val="Numbered Heading 2"/>
    <w:uiPriority w:val="1"/>
    <w:qFormat/>
    <w:rsid w:val="009A5967"/>
    <w:pPr>
      <w:numPr>
        <w:ilvl w:val="1"/>
        <w:numId w:val="13"/>
      </w:numPr>
    </w:pPr>
    <w:rPr>
      <w:b/>
      <w:noProof/>
      <w:sz w:val="30"/>
      <w:szCs w:val="30"/>
    </w:rPr>
  </w:style>
  <w:style w:type="paragraph" w:customStyle="1" w:styleId="NumberedHeading3">
    <w:name w:val="Numbered Heading 3"/>
    <w:uiPriority w:val="1"/>
    <w:qFormat/>
    <w:rsid w:val="009A5967"/>
    <w:pPr>
      <w:numPr>
        <w:ilvl w:val="2"/>
        <w:numId w:val="13"/>
      </w:numPr>
    </w:pPr>
    <w:rPr>
      <w:b/>
      <w:noProof/>
      <w:sz w:val="24"/>
      <w:szCs w:val="24"/>
    </w:rPr>
  </w:style>
  <w:style w:type="paragraph" w:customStyle="1" w:styleId="NumberedParagraphLevel1">
    <w:name w:val="Numbered Paragraph Level 1"/>
    <w:uiPriority w:val="1"/>
    <w:qFormat/>
    <w:rsid w:val="009A5967"/>
    <w:pPr>
      <w:numPr>
        <w:numId w:val="16"/>
      </w:numPr>
    </w:pPr>
    <w:rPr>
      <w:noProof/>
    </w:rPr>
  </w:style>
  <w:style w:type="paragraph" w:customStyle="1" w:styleId="NumberedParagraphLevel2">
    <w:name w:val="Numbered Paragraph Level 2"/>
    <w:uiPriority w:val="1"/>
    <w:qFormat/>
    <w:rsid w:val="009A5967"/>
    <w:pPr>
      <w:numPr>
        <w:ilvl w:val="1"/>
        <w:numId w:val="16"/>
      </w:numPr>
    </w:pPr>
    <w:rPr>
      <w:noProof/>
    </w:rPr>
  </w:style>
  <w:style w:type="paragraph" w:customStyle="1" w:styleId="NumberedParagraphLevel3">
    <w:name w:val="Numbered Paragraph Level 3"/>
    <w:uiPriority w:val="1"/>
    <w:qFormat/>
    <w:rsid w:val="009A5967"/>
    <w:pPr>
      <w:numPr>
        <w:ilvl w:val="2"/>
        <w:numId w:val="16"/>
      </w:numPr>
    </w:pPr>
    <w:rPr>
      <w:noProof/>
    </w:rPr>
  </w:style>
  <w:style w:type="paragraph" w:customStyle="1" w:styleId="Body">
    <w:name w:val="Body"/>
    <w:rsid w:val="00804D4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NZ"/>
    </w:rPr>
  </w:style>
  <w:style w:type="paragraph" w:customStyle="1" w:styleId="Footnote">
    <w:name w:val="Footnote"/>
    <w:rsid w:val="006A346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NZ"/>
    </w:rPr>
  </w:style>
  <w:style w:type="character" w:customStyle="1" w:styleId="Hyperlink0">
    <w:name w:val="Hyperlink.0"/>
    <w:basedOn w:val="Hyperlink"/>
    <w:rsid w:val="006A3467"/>
    <w:rPr>
      <w:color w:val="0000FF" w:themeColor="hyperlink"/>
      <w:u w:val="single"/>
    </w:rPr>
  </w:style>
  <w:style w:type="character" w:styleId="Hyperlink">
    <w:name w:val="Hyperlink"/>
    <w:basedOn w:val="DefaultParagraphFont"/>
    <w:uiPriority w:val="99"/>
    <w:unhideWhenUsed/>
    <w:rsid w:val="006A3467"/>
    <w:rPr>
      <w:color w:val="0000FF" w:themeColor="hyperlink"/>
      <w:u w:val="single"/>
    </w:rPr>
  </w:style>
  <w:style w:type="paragraph" w:styleId="FootnoteText">
    <w:name w:val="footnote text"/>
    <w:basedOn w:val="Normal"/>
    <w:link w:val="FootnoteTextChar"/>
    <w:uiPriority w:val="99"/>
    <w:semiHidden/>
    <w:unhideWhenUsed/>
    <w:rsid w:val="001A74D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A74DB"/>
    <w:rPr>
      <w:sz w:val="20"/>
      <w:szCs w:val="20"/>
    </w:rPr>
  </w:style>
  <w:style w:type="character" w:styleId="FootnoteReference">
    <w:name w:val="footnote reference"/>
    <w:basedOn w:val="DefaultParagraphFont"/>
    <w:uiPriority w:val="99"/>
    <w:semiHidden/>
    <w:unhideWhenUsed/>
    <w:rsid w:val="001A74DB"/>
    <w:rPr>
      <w:vertAlign w:val="superscript"/>
    </w:rPr>
  </w:style>
  <w:style w:type="character" w:styleId="SubtleEmphasis">
    <w:name w:val="Subtle Emphasis"/>
    <w:basedOn w:val="DefaultParagraphFont"/>
    <w:uiPriority w:val="19"/>
    <w:qFormat/>
    <w:rsid w:val="001A74DB"/>
    <w:rPr>
      <w:i/>
      <w:iCs/>
      <w:color w:val="808080" w:themeColor="text1" w:themeTint="7F"/>
    </w:rPr>
  </w:style>
  <w:style w:type="paragraph" w:styleId="Quote">
    <w:name w:val="Quote"/>
    <w:basedOn w:val="Normal"/>
    <w:next w:val="Normal"/>
    <w:link w:val="QuoteChar"/>
    <w:uiPriority w:val="29"/>
    <w:qFormat/>
    <w:rsid w:val="001A74DB"/>
    <w:rPr>
      <w:i/>
      <w:iCs/>
      <w:color w:val="000000" w:themeColor="text1"/>
    </w:rPr>
  </w:style>
  <w:style w:type="character" w:customStyle="1" w:styleId="QuoteChar">
    <w:name w:val="Quote Char"/>
    <w:basedOn w:val="DefaultParagraphFont"/>
    <w:link w:val="Quote"/>
    <w:uiPriority w:val="29"/>
    <w:rsid w:val="001A74DB"/>
    <w:rPr>
      <w:i/>
      <w:iCs/>
      <w:color w:val="000000" w:themeColor="text1"/>
    </w:rPr>
  </w:style>
  <w:style w:type="paragraph" w:styleId="ListParagraph">
    <w:name w:val="List Paragraph"/>
    <w:basedOn w:val="Normal"/>
    <w:uiPriority w:val="34"/>
    <w:qFormat/>
    <w:rsid w:val="002525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List Bullet" w:semiHidden="0"/>
    <w:lsdException w:name="List Number" w:unhideWhenUsed="0"/>
    <w:lsdException w:name="List 4" w:unhideWhenUsed="0"/>
    <w:lsdException w:name="List 5" w:unhideWhenUsed="0"/>
    <w:lsdException w:name="List Bullet 2" w:semiHidden="0"/>
    <w:lsdException w:name="List Bullet 3" w:semiHidden="0"/>
    <w:lsdException w:name="Title" w:semiHidden="0" w:uiPriority="10" w:unhideWhenUsed="0" w:qFormat="1"/>
    <w:lsdException w:name="Default Paragraph Font" w:uiPriority="1"/>
    <w:lsdException w:name="Body Text" w:uiPriority="74"/>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qFormat/>
    <w:rsid w:val="009A5967"/>
    <w:pPr>
      <w:spacing w:before="40" w:after="160" w:line="260" w:lineRule="atLeast"/>
    </w:pPr>
  </w:style>
  <w:style w:type="paragraph" w:styleId="Heading1">
    <w:name w:val="heading 1"/>
    <w:basedOn w:val="Normal"/>
    <w:next w:val="Normal"/>
    <w:link w:val="Heading1Char"/>
    <w:qFormat/>
    <w:rsid w:val="00796541"/>
    <w:pPr>
      <w:spacing w:before="240" w:after="240" w:line="240" w:lineRule="auto"/>
      <w:outlineLvl w:val="0"/>
    </w:pPr>
    <w:rPr>
      <w:b/>
      <w:sz w:val="36"/>
      <w:szCs w:val="30"/>
    </w:rPr>
  </w:style>
  <w:style w:type="paragraph" w:styleId="Heading2">
    <w:name w:val="heading 2"/>
    <w:basedOn w:val="Normal"/>
    <w:next w:val="Normal"/>
    <w:link w:val="Heading2Char"/>
    <w:unhideWhenUsed/>
    <w:qFormat/>
    <w:rsid w:val="00171D9A"/>
    <w:pPr>
      <w:spacing w:before="120" w:after="113" w:line="340" w:lineRule="atLeast"/>
      <w:outlineLvl w:val="1"/>
    </w:pPr>
    <w:rPr>
      <w:b/>
      <w:sz w:val="30"/>
      <w:szCs w:val="30"/>
    </w:rPr>
  </w:style>
  <w:style w:type="paragraph" w:styleId="Heading3">
    <w:name w:val="heading 3"/>
    <w:basedOn w:val="Normal"/>
    <w:next w:val="Normal"/>
    <w:link w:val="Heading3Char"/>
    <w:unhideWhenUsed/>
    <w:qFormat/>
    <w:rsid w:val="00171D9A"/>
    <w:pPr>
      <w:spacing w:before="113" w:after="0" w:line="280" w:lineRule="atLeast"/>
      <w:outlineLvl w:val="2"/>
    </w:pPr>
    <w:rPr>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35B49"/>
    <w:pPr>
      <w:spacing w:after="0" w:line="240" w:lineRule="auto"/>
    </w:pPr>
  </w:style>
  <w:style w:type="character" w:customStyle="1" w:styleId="HeaderChar">
    <w:name w:val="Header Char"/>
    <w:basedOn w:val="DefaultParagraphFont"/>
    <w:link w:val="Header"/>
    <w:uiPriority w:val="99"/>
    <w:semiHidden/>
    <w:rsid w:val="002919CB"/>
  </w:style>
  <w:style w:type="paragraph" w:styleId="Footer">
    <w:name w:val="footer"/>
    <w:basedOn w:val="Normal"/>
    <w:link w:val="FooterChar"/>
    <w:uiPriority w:val="99"/>
    <w:semiHidden/>
    <w:rsid w:val="00B6317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6541"/>
  </w:style>
  <w:style w:type="paragraph" w:styleId="BalloonText">
    <w:name w:val="Balloon Text"/>
    <w:basedOn w:val="Normal"/>
    <w:link w:val="BalloonTextChar"/>
    <w:uiPriority w:val="99"/>
    <w:semiHidden/>
    <w:rsid w:val="00B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basedOn w:val="DefaultParagraphFont"/>
    <w:link w:val="Heading1"/>
    <w:rsid w:val="009A5967"/>
    <w:rPr>
      <w:b/>
      <w:sz w:val="36"/>
      <w:szCs w:val="30"/>
    </w:rPr>
  </w:style>
  <w:style w:type="paragraph" w:styleId="ListBullet">
    <w:name w:val="List Bullet"/>
    <w:basedOn w:val="Normal"/>
    <w:uiPriority w:val="13"/>
    <w:rsid w:val="00F24BAB"/>
    <w:pPr>
      <w:numPr>
        <w:numId w:val="1"/>
      </w:numPr>
      <w:spacing w:after="40"/>
      <w:ind w:left="568" w:hanging="284"/>
      <w:contextualSpacing/>
    </w:pPr>
  </w:style>
  <w:style w:type="paragraph" w:styleId="ListBullet2">
    <w:name w:val="List Bullet 2"/>
    <w:basedOn w:val="ListBullet"/>
    <w:uiPriority w:val="13"/>
    <w:rsid w:val="00F24BAB"/>
    <w:pPr>
      <w:numPr>
        <w:ilvl w:val="1"/>
      </w:numPr>
      <w:ind w:left="1134"/>
    </w:pPr>
  </w:style>
  <w:style w:type="paragraph" w:styleId="ListBullet3">
    <w:name w:val="List Bullet 3"/>
    <w:basedOn w:val="ListBullet"/>
    <w:uiPriority w:val="13"/>
    <w:rsid w:val="00F24BAB"/>
    <w:pPr>
      <w:numPr>
        <w:ilvl w:val="2"/>
      </w:numPr>
      <w:ind w:left="1418"/>
    </w:pPr>
  </w:style>
  <w:style w:type="character" w:customStyle="1" w:styleId="Heading2Char">
    <w:name w:val="Heading 2 Char"/>
    <w:basedOn w:val="DefaultParagraphFont"/>
    <w:link w:val="Heading2"/>
    <w:rsid w:val="009A5967"/>
    <w:rPr>
      <w:b/>
      <w:sz w:val="30"/>
      <w:szCs w:val="30"/>
    </w:rPr>
  </w:style>
  <w:style w:type="character" w:customStyle="1" w:styleId="Heading3Char">
    <w:name w:val="Heading 3 Char"/>
    <w:basedOn w:val="DefaultParagraphFont"/>
    <w:link w:val="Heading3"/>
    <w:rsid w:val="009A5967"/>
    <w:rPr>
      <w:b/>
      <w:sz w:val="24"/>
      <w:szCs w:val="24"/>
    </w:rPr>
  </w:style>
  <w:style w:type="table" w:styleId="TableGrid">
    <w:name w:val="Table Grid"/>
    <w:basedOn w:val="TableNormal"/>
    <w:uiPriority w:val="5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74"/>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74"/>
    <w:rsid w:val="004747A8"/>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before="0"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uiPriority w:val="12"/>
    <w:rsid w:val="005D76FF"/>
    <w:pPr>
      <w:pBdr>
        <w:bottom w:val="single" w:sz="8" w:space="24" w:color="595959" w:themeColor="text1" w:themeTint="A6"/>
      </w:pBdr>
      <w:autoSpaceDE w:val="0"/>
      <w:autoSpaceDN w:val="0"/>
      <w:adjustRightInd w:val="0"/>
      <w:spacing w:before="0"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74"/>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74"/>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uiPriority w:val="99"/>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before="0"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uiPriority w:val="99"/>
    <w:qFormat/>
    <w:rsid w:val="00951885"/>
  </w:style>
  <w:style w:type="paragraph" w:styleId="ListNumber">
    <w:name w:val="List Number"/>
    <w:basedOn w:val="Normal"/>
    <w:uiPriority w:val="13"/>
    <w:rsid w:val="00F870D6"/>
    <w:pPr>
      <w:numPr>
        <w:numId w:val="10"/>
      </w:numPr>
      <w:spacing w:after="40" w:line="240" w:lineRule="auto"/>
      <w:contextualSpacing/>
    </w:pPr>
  </w:style>
  <w:style w:type="paragraph" w:styleId="ListNumber2">
    <w:name w:val="List Number 2"/>
    <w:basedOn w:val="Normal"/>
    <w:uiPriority w:val="13"/>
    <w:rsid w:val="00F870D6"/>
    <w:pPr>
      <w:numPr>
        <w:ilvl w:val="1"/>
        <w:numId w:val="10"/>
      </w:numPr>
      <w:spacing w:after="40" w:line="240" w:lineRule="auto"/>
      <w:contextualSpacing/>
    </w:pPr>
  </w:style>
  <w:style w:type="paragraph" w:styleId="ListNumber3">
    <w:name w:val="List Number 3"/>
    <w:basedOn w:val="Normal"/>
    <w:uiPriority w:val="13"/>
    <w:rsid w:val="00F870D6"/>
    <w:pPr>
      <w:numPr>
        <w:ilvl w:val="2"/>
        <w:numId w:val="10"/>
      </w:numPr>
      <w:spacing w:after="40" w:line="240" w:lineRule="auto"/>
      <w:contextualSpacing/>
    </w:pPr>
  </w:style>
  <w:style w:type="paragraph" w:customStyle="1" w:styleId="NumberedHeading1">
    <w:name w:val="Numbered Heading 1"/>
    <w:uiPriority w:val="1"/>
    <w:qFormat/>
    <w:rsid w:val="009A5967"/>
    <w:pPr>
      <w:numPr>
        <w:numId w:val="13"/>
      </w:numPr>
    </w:pPr>
    <w:rPr>
      <w:b/>
      <w:noProof/>
      <w:sz w:val="36"/>
      <w:szCs w:val="30"/>
    </w:rPr>
  </w:style>
  <w:style w:type="paragraph" w:customStyle="1" w:styleId="NumberedHeading2">
    <w:name w:val="Numbered Heading 2"/>
    <w:uiPriority w:val="1"/>
    <w:qFormat/>
    <w:rsid w:val="009A5967"/>
    <w:pPr>
      <w:numPr>
        <w:ilvl w:val="1"/>
        <w:numId w:val="13"/>
      </w:numPr>
    </w:pPr>
    <w:rPr>
      <w:b/>
      <w:noProof/>
      <w:sz w:val="30"/>
      <w:szCs w:val="30"/>
    </w:rPr>
  </w:style>
  <w:style w:type="paragraph" w:customStyle="1" w:styleId="NumberedHeading3">
    <w:name w:val="Numbered Heading 3"/>
    <w:uiPriority w:val="1"/>
    <w:qFormat/>
    <w:rsid w:val="009A5967"/>
    <w:pPr>
      <w:numPr>
        <w:ilvl w:val="2"/>
        <w:numId w:val="13"/>
      </w:numPr>
    </w:pPr>
    <w:rPr>
      <w:b/>
      <w:noProof/>
      <w:sz w:val="24"/>
      <w:szCs w:val="24"/>
    </w:rPr>
  </w:style>
  <w:style w:type="paragraph" w:customStyle="1" w:styleId="NumberedParagraphLevel1">
    <w:name w:val="Numbered Paragraph Level 1"/>
    <w:uiPriority w:val="1"/>
    <w:qFormat/>
    <w:rsid w:val="009A5967"/>
    <w:pPr>
      <w:numPr>
        <w:numId w:val="16"/>
      </w:numPr>
    </w:pPr>
    <w:rPr>
      <w:noProof/>
    </w:rPr>
  </w:style>
  <w:style w:type="paragraph" w:customStyle="1" w:styleId="NumberedParagraphLevel2">
    <w:name w:val="Numbered Paragraph Level 2"/>
    <w:uiPriority w:val="1"/>
    <w:qFormat/>
    <w:rsid w:val="009A5967"/>
    <w:pPr>
      <w:numPr>
        <w:ilvl w:val="1"/>
        <w:numId w:val="16"/>
      </w:numPr>
    </w:pPr>
    <w:rPr>
      <w:noProof/>
    </w:rPr>
  </w:style>
  <w:style w:type="paragraph" w:customStyle="1" w:styleId="NumberedParagraphLevel3">
    <w:name w:val="Numbered Paragraph Level 3"/>
    <w:uiPriority w:val="1"/>
    <w:qFormat/>
    <w:rsid w:val="009A5967"/>
    <w:pPr>
      <w:numPr>
        <w:ilvl w:val="2"/>
        <w:numId w:val="16"/>
      </w:numPr>
    </w:pPr>
    <w:rPr>
      <w:noProof/>
    </w:rPr>
  </w:style>
  <w:style w:type="paragraph" w:customStyle="1" w:styleId="Body">
    <w:name w:val="Body"/>
    <w:rsid w:val="00804D4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NZ"/>
    </w:rPr>
  </w:style>
  <w:style w:type="paragraph" w:customStyle="1" w:styleId="Footnote">
    <w:name w:val="Footnote"/>
    <w:rsid w:val="006A346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NZ"/>
    </w:rPr>
  </w:style>
  <w:style w:type="character" w:customStyle="1" w:styleId="Hyperlink0">
    <w:name w:val="Hyperlink.0"/>
    <w:basedOn w:val="Hyperlink"/>
    <w:rsid w:val="006A3467"/>
    <w:rPr>
      <w:color w:val="0000FF" w:themeColor="hyperlink"/>
      <w:u w:val="single"/>
    </w:rPr>
  </w:style>
  <w:style w:type="character" w:styleId="Hyperlink">
    <w:name w:val="Hyperlink"/>
    <w:basedOn w:val="DefaultParagraphFont"/>
    <w:uiPriority w:val="99"/>
    <w:unhideWhenUsed/>
    <w:rsid w:val="006A3467"/>
    <w:rPr>
      <w:color w:val="0000FF" w:themeColor="hyperlink"/>
      <w:u w:val="single"/>
    </w:rPr>
  </w:style>
  <w:style w:type="paragraph" w:styleId="FootnoteText">
    <w:name w:val="footnote text"/>
    <w:basedOn w:val="Normal"/>
    <w:link w:val="FootnoteTextChar"/>
    <w:uiPriority w:val="99"/>
    <w:semiHidden/>
    <w:unhideWhenUsed/>
    <w:rsid w:val="001A74D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A74DB"/>
    <w:rPr>
      <w:sz w:val="20"/>
      <w:szCs w:val="20"/>
    </w:rPr>
  </w:style>
  <w:style w:type="character" w:styleId="FootnoteReference">
    <w:name w:val="footnote reference"/>
    <w:basedOn w:val="DefaultParagraphFont"/>
    <w:uiPriority w:val="99"/>
    <w:semiHidden/>
    <w:unhideWhenUsed/>
    <w:rsid w:val="001A74DB"/>
    <w:rPr>
      <w:vertAlign w:val="superscript"/>
    </w:rPr>
  </w:style>
  <w:style w:type="character" w:styleId="SubtleEmphasis">
    <w:name w:val="Subtle Emphasis"/>
    <w:basedOn w:val="DefaultParagraphFont"/>
    <w:uiPriority w:val="19"/>
    <w:qFormat/>
    <w:rsid w:val="001A74DB"/>
    <w:rPr>
      <w:i/>
      <w:iCs/>
      <w:color w:val="808080" w:themeColor="text1" w:themeTint="7F"/>
    </w:rPr>
  </w:style>
  <w:style w:type="paragraph" w:styleId="Quote">
    <w:name w:val="Quote"/>
    <w:basedOn w:val="Normal"/>
    <w:next w:val="Normal"/>
    <w:link w:val="QuoteChar"/>
    <w:uiPriority w:val="29"/>
    <w:qFormat/>
    <w:rsid w:val="001A74DB"/>
    <w:rPr>
      <w:i/>
      <w:iCs/>
      <w:color w:val="000000" w:themeColor="text1"/>
    </w:rPr>
  </w:style>
  <w:style w:type="character" w:customStyle="1" w:styleId="QuoteChar">
    <w:name w:val="Quote Char"/>
    <w:basedOn w:val="DefaultParagraphFont"/>
    <w:link w:val="Quote"/>
    <w:uiPriority w:val="29"/>
    <w:rsid w:val="001A74DB"/>
    <w:rPr>
      <w:i/>
      <w:iCs/>
      <w:color w:val="000000" w:themeColor="text1"/>
    </w:rPr>
  </w:style>
  <w:style w:type="paragraph" w:styleId="ListParagraph">
    <w:name w:val="List Paragraph"/>
    <w:basedOn w:val="Normal"/>
    <w:uiPriority w:val="34"/>
    <w:qFormat/>
    <w:rsid w:val="002525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www.researchgate.net/publication/318870347_Time_Dummy_Hedonic_and_Quality-Adjusted_Unit_Value_Indexes_Do_They_Really_Differ" TargetMode="External"/><Relationship Id="rId26" Type="http://schemas.openxmlformats.org/officeDocument/2006/relationships/hyperlink" Target="https://www.reinz.co.nz/reinz-hpi" TargetMode="External"/><Relationship Id="rId39" Type="http://schemas.openxmlformats.org/officeDocument/2006/relationships/oleObject" Target="embeddings/oleObject9.bin"/><Relationship Id="rId21" Type="http://schemas.openxmlformats.org/officeDocument/2006/relationships/hyperlink" Target="https://www.researchgate.net/publication/316811455_Towards_a_big_data_CPI_for_New_Zealand"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oleObject" Target="embeddings/oleObject13.bin"/><Relationship Id="rId50" Type="http://schemas.openxmlformats.org/officeDocument/2006/relationships/image" Target="media/image16.png"/><Relationship Id="rId55" Type="http://schemas.openxmlformats.org/officeDocument/2006/relationships/oleObject" Target="embeddings/oleObject17.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rbnz.govt.nz/-/media/ReserveBank/Files/Publications/Analytical%20notes/2017/an2017-02.pdf" TargetMode="External"/><Relationship Id="rId20" Type="http://schemas.openxmlformats.org/officeDocument/2006/relationships/hyperlink" Target="https://www.unece.org/fileadmin/DAM/stats/documents/ece/ces/ge.22/2010/zip.34.e.pdf" TargetMode="External"/><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image" Target="media/image1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www.hud.govt.nz/assets/Urban-Development/NPS-UDC/National-Policy-Statement-on-Urban-Development-Capacity-Price-efficiency-indicators-technical-report-Price-cost-ratios.pdf" TargetMode="External"/><Relationship Id="rId32" Type="http://schemas.openxmlformats.org/officeDocument/2006/relationships/image" Target="media/image7.png"/><Relationship Id="rId37" Type="http://schemas.openxmlformats.org/officeDocument/2006/relationships/oleObject" Target="embeddings/oleObject8.bin"/><Relationship Id="rId40" Type="http://schemas.openxmlformats.org/officeDocument/2006/relationships/image" Target="media/image11.png"/><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s://www.researchgate.net/publication/303888203_The_FEWS_index_Fixed_effects_with_a_window_splice"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researchgate.net/publication/276083416_Residential_property_price_indices_for_Tokyo" TargetMode="External"/><Relationship Id="rId31" Type="http://schemas.openxmlformats.org/officeDocument/2006/relationships/oleObject" Target="embeddings/oleObject5.bin"/><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www.researchgate.net/publication/328062386_Rentals_for_housing_A_model-based_estimator_of_inflation_from_administrative_data" TargetMode="External"/><Relationship Id="rId27" Type="http://schemas.openxmlformats.org/officeDocument/2006/relationships/hyperlink" Target="https://www.stats.govt.nz/methods/new-methodology-for-rental-prices-in-the-cpi" TargetMode="External"/><Relationship Id="rId30" Type="http://schemas.openxmlformats.org/officeDocument/2006/relationships/image" Target="media/image6.pn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5.png"/><Relationship Id="rId56"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researchgate.net/publication/254452970_Hedonic_Regressions_and_the_Decomposition_of_a_House_Price_Index_into_Land_and_Structure_Components" TargetMode="External"/><Relationship Id="rId25" Type="http://schemas.openxmlformats.org/officeDocument/2006/relationships/hyperlink" Target="https://read.oecd-ilibrary.org/economics/handbook-on-residential-property-price-indices_9789264197183-en" TargetMode="External"/><Relationship Id="rId33" Type="http://schemas.openxmlformats.org/officeDocument/2006/relationships/oleObject" Target="embeddings/oleObject6.bin"/><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oleObject" Target="embeddings/oleObject19.bin"/></Relationships>
</file>

<file path=word/_rels/footnotes.xml.rels><?xml version="1.0" encoding="UTF-8" standalone="yes"?>
<Relationships xmlns="http://schemas.openxmlformats.org/package/2006/relationships"><Relationship Id="rId1" Type="http://schemas.openxmlformats.org/officeDocument/2006/relationships/hyperlink" Target="https://mbienz.shinyapps.io/urban-development-capac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wd.govt.nz\dfs\shareddata\office2010_templates\workgroup%20templates\mbie\MBIE%20-%20Report%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46506-815D-4930-9F7F-602EE8A1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MBIE - Report Template.dotm</Template>
  <TotalTime>1</TotalTime>
  <Pages>10</Pages>
  <Words>1441</Words>
  <Characters>7895</Characters>
  <Application>Microsoft Office Word</Application>
  <DocSecurity>0</DocSecurity>
  <Lines>189</Lines>
  <Paragraphs>56</Paragraphs>
  <ScaleCrop>false</ScaleCrop>
  <HeadingPairs>
    <vt:vector size="2" baseType="variant">
      <vt:variant>
        <vt:lpstr>Title</vt:lpstr>
      </vt:variant>
      <vt:variant>
        <vt:i4>1</vt:i4>
      </vt:variant>
    </vt:vector>
  </HeadingPairs>
  <TitlesOfParts>
    <vt:vector size="1" baseType="lpstr">
      <vt:lpstr>Document1</vt:lpstr>
    </vt:vector>
  </TitlesOfParts>
  <Company>Ministry of Economic Development</Company>
  <LinksUpToDate>false</LinksUpToDate>
  <CharactersWithSpaces>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Document1</dc:title>
  <dc:creator>Frances Krsinich</dc:creator>
  <dc:description>Developed by www.allfields.co.nz for MBIE, contact shiree@allfields.co.nz for any questions</dc:description>
  <cp:lastModifiedBy>Frances Krsinich</cp:lastModifiedBy>
  <cp:revision>2</cp:revision>
  <cp:lastPrinted>2019-06-10T04:19:00Z</cp:lastPrinted>
  <dcterms:created xsi:type="dcterms:W3CDTF">2019-06-10T04:35:00Z</dcterms:created>
  <dcterms:modified xsi:type="dcterms:W3CDTF">2019-06-10T04:35:00Z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FILE-ID">
    <vt:lpwstr>012B-0E31-4516-153C</vt:lpwstr>
  </property>
</Properties>
</file>